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D5" w:rsidRDefault="00C66E01" w:rsidP="00C66E01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color w:val="244061" w:themeColor="accent1" w:themeShade="80"/>
          <w:sz w:val="32"/>
          <w:u w:val="single"/>
        </w:rPr>
        <w:t xml:space="preserve">Successful Applicants of the </w:t>
      </w:r>
      <w:r>
        <w:rPr>
          <w:rFonts w:asciiTheme="minorHAnsi" w:hAnsiTheme="minorHAnsi"/>
          <w:b/>
          <w:color w:val="244061" w:themeColor="accent1" w:themeShade="80"/>
          <w:sz w:val="32"/>
          <w:u w:val="single"/>
        </w:rPr>
        <w:br/>
      </w:r>
      <w:r w:rsidR="008551B9">
        <w:rPr>
          <w:rFonts w:asciiTheme="minorHAnsi" w:hAnsiTheme="minorHAnsi"/>
          <w:b/>
          <w:color w:val="244061" w:themeColor="accent1" w:themeShade="80"/>
          <w:sz w:val="32"/>
          <w:u w:val="single"/>
        </w:rPr>
        <w:t>2020</w:t>
      </w:r>
      <w:r w:rsidR="00D453EF" w:rsidRPr="00B841DF">
        <w:rPr>
          <w:rFonts w:asciiTheme="minorHAnsi" w:hAnsiTheme="minorHAnsi"/>
          <w:b/>
          <w:color w:val="244061" w:themeColor="accent1" w:themeShade="80"/>
          <w:sz w:val="32"/>
          <w:u w:val="single"/>
        </w:rPr>
        <w:t xml:space="preserve"> </w:t>
      </w:r>
      <w:r>
        <w:rPr>
          <w:rFonts w:asciiTheme="minorHAnsi" w:hAnsiTheme="minorHAnsi"/>
          <w:b/>
          <w:color w:val="244061" w:themeColor="accent1" w:themeShade="80"/>
          <w:sz w:val="32"/>
          <w:u w:val="single"/>
        </w:rPr>
        <w:t xml:space="preserve">Health Sciences </w:t>
      </w:r>
      <w:r w:rsidR="00D453EF" w:rsidRPr="00B841DF">
        <w:rPr>
          <w:rFonts w:asciiTheme="minorHAnsi" w:hAnsiTheme="minorHAnsi"/>
          <w:b/>
          <w:color w:val="244061" w:themeColor="accent1" w:themeShade="80"/>
          <w:sz w:val="32"/>
          <w:u w:val="single"/>
        </w:rPr>
        <w:t xml:space="preserve">Internal </w:t>
      </w:r>
      <w:r>
        <w:rPr>
          <w:rFonts w:asciiTheme="minorHAnsi" w:hAnsiTheme="minorHAnsi"/>
          <w:b/>
          <w:color w:val="244061" w:themeColor="accent1" w:themeShade="80"/>
          <w:sz w:val="32"/>
          <w:u w:val="single"/>
        </w:rPr>
        <w:t xml:space="preserve">Grant </w:t>
      </w:r>
      <w:r w:rsidR="00D453EF" w:rsidRPr="00B841DF">
        <w:rPr>
          <w:rFonts w:asciiTheme="minorHAnsi" w:hAnsiTheme="minorHAnsi"/>
          <w:b/>
          <w:color w:val="244061" w:themeColor="accent1" w:themeShade="80"/>
          <w:sz w:val="32"/>
          <w:u w:val="single"/>
        </w:rPr>
        <w:t>Competition</w:t>
      </w:r>
      <w:r>
        <w:rPr>
          <w:rFonts w:asciiTheme="minorHAnsi" w:hAnsiTheme="minorHAnsi"/>
          <w:b/>
          <w:color w:val="244061" w:themeColor="accent1" w:themeShade="80"/>
          <w:sz w:val="32"/>
          <w:u w:val="single"/>
        </w:rPr>
        <w:br/>
      </w:r>
    </w:p>
    <w:p w:rsidR="00C66E01" w:rsidRDefault="00555EFD" w:rsidP="00555EFD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 Faculty of Health Sciences Research office and the Kingston General Health Research Institute are pleased to announce the following s</w:t>
      </w:r>
      <w:r w:rsidR="001A1991">
        <w:rPr>
          <w:rFonts w:asciiTheme="minorHAnsi" w:hAnsiTheme="minorHAnsi"/>
          <w:sz w:val="28"/>
        </w:rPr>
        <w:t>uccessful applicants of the 20</w:t>
      </w:r>
      <w:r w:rsidR="008551B9">
        <w:rPr>
          <w:rFonts w:asciiTheme="minorHAnsi" w:hAnsiTheme="minorHAnsi"/>
          <w:sz w:val="28"/>
        </w:rPr>
        <w:t>20</w:t>
      </w:r>
      <w:r>
        <w:rPr>
          <w:rFonts w:asciiTheme="minorHAnsi" w:hAnsiTheme="minorHAnsi"/>
          <w:sz w:val="28"/>
        </w:rPr>
        <w:t xml:space="preserve"> Health Sciences Internal Grant Competition, made available from </w:t>
      </w:r>
      <w:r w:rsidR="00C66E01" w:rsidRPr="00C66E01">
        <w:rPr>
          <w:rFonts w:asciiTheme="minorHAnsi" w:hAnsiTheme="minorHAnsi"/>
          <w:sz w:val="28"/>
        </w:rPr>
        <w:t xml:space="preserve">various sources </w:t>
      </w:r>
      <w:r>
        <w:rPr>
          <w:rFonts w:asciiTheme="minorHAnsi" w:hAnsiTheme="minorHAnsi"/>
          <w:sz w:val="28"/>
        </w:rPr>
        <w:t xml:space="preserve">from the Faculty of Health Sciences </w:t>
      </w:r>
      <w:r w:rsidR="00C66E01" w:rsidRPr="00C66E01">
        <w:rPr>
          <w:rFonts w:asciiTheme="minorHAnsi" w:hAnsiTheme="minorHAnsi"/>
          <w:sz w:val="28"/>
        </w:rPr>
        <w:t>endowment funds, and bequests and donations made to the University Hospitals Kingston Foundation</w:t>
      </w:r>
      <w:r>
        <w:rPr>
          <w:rFonts w:asciiTheme="minorHAnsi" w:hAnsiTheme="minorHAnsi"/>
          <w:sz w:val="28"/>
        </w:rPr>
        <w:t>.</w:t>
      </w:r>
      <w:r w:rsidR="00C66E01" w:rsidRPr="00C66E01">
        <w:rPr>
          <w:rFonts w:asciiTheme="minorHAnsi" w:hAnsiTheme="minorHAnsi"/>
          <w:sz w:val="28"/>
        </w:rPr>
        <w:t xml:space="preserve"> </w:t>
      </w:r>
    </w:p>
    <w:p w:rsidR="00B2293D" w:rsidRDefault="00B2293D" w:rsidP="00C66E01">
      <w:pPr>
        <w:rPr>
          <w:rFonts w:asciiTheme="minorHAnsi" w:hAnsiTheme="minorHAnsi"/>
        </w:rPr>
      </w:pPr>
    </w:p>
    <w:p w:rsidR="0070455A" w:rsidRPr="00B776ED" w:rsidRDefault="0070455A" w:rsidP="0070455A">
      <w:pPr>
        <w:rPr>
          <w:rFonts w:asciiTheme="minorHAnsi" w:hAnsiTheme="minorHAnsi"/>
          <w:b/>
          <w:color w:val="244061" w:themeColor="accent1" w:themeShade="80"/>
        </w:rPr>
      </w:pPr>
    </w:p>
    <w:p w:rsidR="0070455A" w:rsidRPr="00B776ED" w:rsidRDefault="0070455A" w:rsidP="0070455A">
      <w:pPr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 w:rsidRPr="00B776ED">
        <w:rPr>
          <w:rFonts w:asciiTheme="minorHAnsi" w:hAnsiTheme="minorHAnsi"/>
          <w:b/>
          <w:color w:val="244061" w:themeColor="accent1" w:themeShade="80"/>
          <w:sz w:val="28"/>
        </w:rPr>
        <w:t>Pulmonary and Respiratory Research</w:t>
      </w:r>
    </w:p>
    <w:tbl>
      <w:tblPr>
        <w:tblStyle w:val="LightGrid-Accent1"/>
        <w:tblW w:w="9360" w:type="dxa"/>
        <w:tblLayout w:type="fixed"/>
        <w:tblLook w:val="04A0" w:firstRow="1" w:lastRow="0" w:firstColumn="1" w:lastColumn="0" w:noHBand="0" w:noVBand="1"/>
      </w:tblPr>
      <w:tblGrid>
        <w:gridCol w:w="2330"/>
        <w:gridCol w:w="5850"/>
        <w:gridCol w:w="1180"/>
      </w:tblGrid>
      <w:tr w:rsidR="0070455A" w:rsidRPr="00B776ED" w:rsidTr="00AB1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vAlign w:val="center"/>
          </w:tcPr>
          <w:p w:rsidR="0070455A" w:rsidRDefault="0070455A" w:rsidP="00AB1555">
            <w:pPr>
              <w:jc w:val="center"/>
              <w:rPr>
                <w:rFonts w:asciiTheme="minorHAnsi" w:eastAsiaTheme="minorHAnsi" w:hAnsiTheme="minorHAnsi" w:cstheme="minorBidi"/>
                <w:i/>
                <w:color w:val="244061" w:themeColor="accent1" w:themeShade="80"/>
                <w:sz w:val="24"/>
              </w:rPr>
            </w:pPr>
            <w:r w:rsidRPr="00B776ED">
              <w:rPr>
                <w:rFonts w:asciiTheme="minorHAnsi" w:eastAsiaTheme="minorHAnsi" w:hAnsiTheme="minorHAnsi" w:cstheme="minorBidi"/>
                <w:i/>
                <w:color w:val="244061" w:themeColor="accent1" w:themeShade="80"/>
                <w:sz w:val="24"/>
              </w:rPr>
              <w:t>William M. Spear Endowment Fund in Pulmonary Research</w:t>
            </w:r>
          </w:p>
          <w:p w:rsidR="0070455A" w:rsidRPr="00B776ED" w:rsidRDefault="0070455A" w:rsidP="00AB1555">
            <w:pPr>
              <w:jc w:val="center"/>
              <w:rPr>
                <w:rFonts w:asciiTheme="minorHAnsi" w:eastAsiaTheme="minorHAnsi" w:hAnsiTheme="minorHAnsi" w:cstheme="minorBidi"/>
                <w:i/>
                <w:color w:val="244061" w:themeColor="accent1" w:themeShade="80"/>
                <w:sz w:val="24"/>
              </w:rPr>
            </w:pPr>
            <w:r w:rsidRPr="00B776ED">
              <w:rPr>
                <w:rFonts w:asciiTheme="minorHAnsi" w:eastAsiaTheme="minorHAnsi" w:hAnsiTheme="minorHAnsi" w:cstheme="minorBidi"/>
                <w:i/>
                <w:color w:val="244061" w:themeColor="accent1" w:themeShade="80"/>
                <w:sz w:val="24"/>
              </w:rPr>
              <w:t>Richard K. Start Memorial Fund</w:t>
            </w:r>
          </w:p>
          <w:p w:rsidR="0070455A" w:rsidRPr="002E1977" w:rsidRDefault="0070455A" w:rsidP="00AB1555">
            <w:pPr>
              <w:jc w:val="center"/>
              <w:rPr>
                <w:rFonts w:asciiTheme="minorHAnsi" w:eastAsiaTheme="minorHAnsi" w:hAnsiTheme="minorHAnsi" w:cstheme="minorBidi"/>
                <w:b w:val="0"/>
                <w:color w:val="244061" w:themeColor="accent1" w:themeShade="80"/>
                <w:sz w:val="28"/>
              </w:rPr>
            </w:pPr>
            <w:r w:rsidRPr="002E1977">
              <w:rPr>
                <w:rFonts w:asciiTheme="minorHAnsi" w:eastAsiaTheme="minorHAnsi" w:hAnsiTheme="minorHAnsi" w:cstheme="minorBidi"/>
                <w:b w:val="0"/>
                <w:color w:val="244061" w:themeColor="accent1" w:themeShade="80"/>
                <w:sz w:val="24"/>
              </w:rPr>
              <w:t>(Faculty of Health Sciences)</w:t>
            </w:r>
          </w:p>
        </w:tc>
      </w:tr>
      <w:tr w:rsidR="0070455A" w:rsidRPr="00B776ED" w:rsidTr="00B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70455A" w:rsidRPr="00B776ED" w:rsidRDefault="0070455A" w:rsidP="00AB1555">
            <w:pPr>
              <w:rPr>
                <w:rFonts w:asciiTheme="minorHAnsi" w:eastAsiaTheme="minorHAnsi" w:hAnsiTheme="minorHAnsi" w:cstheme="minorBidi"/>
                <w:color w:val="244061" w:themeColor="accent1" w:themeShade="80"/>
                <w:sz w:val="24"/>
              </w:rPr>
            </w:pPr>
            <w:r w:rsidRPr="00B776ED">
              <w:rPr>
                <w:rFonts w:asciiTheme="minorHAnsi" w:eastAsiaTheme="minorHAnsi" w:hAnsiTheme="minorHAnsi" w:cstheme="minorBidi"/>
                <w:color w:val="244061" w:themeColor="accent1" w:themeShade="80"/>
                <w:sz w:val="24"/>
              </w:rPr>
              <w:t>PI(s)</w:t>
            </w:r>
          </w:p>
        </w:tc>
        <w:tc>
          <w:tcPr>
            <w:tcW w:w="5850" w:type="dxa"/>
          </w:tcPr>
          <w:p w:rsidR="0070455A" w:rsidRPr="00B776ED" w:rsidRDefault="0070455A" w:rsidP="00A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 w:rsidRPr="00B776ED"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  <w:t>Project Title</w:t>
            </w:r>
          </w:p>
        </w:tc>
        <w:tc>
          <w:tcPr>
            <w:tcW w:w="1180" w:type="dxa"/>
          </w:tcPr>
          <w:p w:rsidR="0070455A" w:rsidRPr="00B776ED" w:rsidRDefault="0070455A" w:rsidP="00A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  <w:r w:rsidRPr="00B776ED"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  <w:t>Amount</w:t>
            </w:r>
          </w:p>
        </w:tc>
      </w:tr>
      <w:tr w:rsidR="008551B9" w:rsidRPr="00B776ED" w:rsidTr="00397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vAlign w:val="center"/>
          </w:tcPr>
          <w:p w:rsidR="008551B9" w:rsidRPr="008551B9" w:rsidRDefault="00636470" w:rsidP="00636470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Archer, </w:t>
            </w:r>
            <w:r w:rsidR="008551B9" w:rsidRPr="008551B9">
              <w:rPr>
                <w:rFonts w:ascii="Calibri" w:hAnsi="Calibri"/>
                <w:b w:val="0"/>
                <w:color w:val="000000"/>
                <w:sz w:val="24"/>
              </w:rPr>
              <w:t>Stephen</w:t>
            </w:r>
          </w:p>
        </w:tc>
        <w:tc>
          <w:tcPr>
            <w:tcW w:w="5850" w:type="dxa"/>
            <w:vAlign w:val="center"/>
          </w:tcPr>
          <w:p w:rsidR="008551B9" w:rsidRPr="008551B9" w:rsidRDefault="008551B9" w:rsidP="0039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hAnsi="Calibri"/>
                <w:color w:val="000000"/>
                <w:sz w:val="24"/>
              </w:rPr>
              <w:t xml:space="preserve">In Vivo Quantitative Assessment of Right Ventricular Structure, Function and Metabolism in Pulmonary Hypertension Using Gated </w:t>
            </w:r>
            <w:proofErr w:type="spellStart"/>
            <w:r w:rsidRPr="008551B9">
              <w:rPr>
                <w:rFonts w:ascii="Calibri" w:hAnsi="Calibri"/>
                <w:color w:val="000000"/>
                <w:sz w:val="24"/>
              </w:rPr>
              <w:t>microCT</w:t>
            </w:r>
            <w:proofErr w:type="spellEnd"/>
            <w:r w:rsidRPr="008551B9">
              <w:rPr>
                <w:rFonts w:ascii="Calibri" w:hAnsi="Calibri"/>
                <w:color w:val="000000"/>
                <w:sz w:val="24"/>
              </w:rPr>
              <w:t>/PET/SPECT</w:t>
            </w:r>
          </w:p>
        </w:tc>
        <w:tc>
          <w:tcPr>
            <w:tcW w:w="1180" w:type="dxa"/>
            <w:vAlign w:val="center"/>
          </w:tcPr>
          <w:p w:rsidR="008551B9" w:rsidRPr="008551B9" w:rsidRDefault="008551B9" w:rsidP="003976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  <w:t>$30,000</w:t>
            </w:r>
          </w:p>
        </w:tc>
      </w:tr>
      <w:tr w:rsidR="008551B9" w:rsidRPr="00B776ED" w:rsidTr="0068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vAlign w:val="center"/>
          </w:tcPr>
          <w:p w:rsidR="008551B9" w:rsidRPr="008551B9" w:rsidRDefault="00636470" w:rsidP="00636470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Colpitts, </w:t>
            </w:r>
            <w:r w:rsidR="008551B9" w:rsidRPr="008551B9">
              <w:rPr>
                <w:rFonts w:ascii="Calibri" w:hAnsi="Calibri"/>
                <w:b w:val="0"/>
                <w:color w:val="000000"/>
                <w:sz w:val="24"/>
              </w:rPr>
              <w:t>Che</w:t>
            </w:r>
          </w:p>
        </w:tc>
        <w:tc>
          <w:tcPr>
            <w:tcW w:w="5850" w:type="dxa"/>
            <w:vAlign w:val="center"/>
          </w:tcPr>
          <w:p w:rsidR="008551B9" w:rsidRPr="008551B9" w:rsidRDefault="008551B9" w:rsidP="00684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hAnsi="Calibri"/>
                <w:color w:val="000000"/>
                <w:sz w:val="24"/>
              </w:rPr>
              <w:t>Novel treatment strategies for coronavirus-associated pneumonia</w:t>
            </w:r>
          </w:p>
        </w:tc>
        <w:tc>
          <w:tcPr>
            <w:tcW w:w="1180" w:type="dxa"/>
            <w:vAlign w:val="center"/>
          </w:tcPr>
          <w:p w:rsidR="008551B9" w:rsidRPr="008551B9" w:rsidRDefault="008551B9" w:rsidP="00684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  <w:t>$29,100</w:t>
            </w:r>
          </w:p>
        </w:tc>
      </w:tr>
      <w:tr w:rsidR="0070455A" w:rsidRPr="00B776ED" w:rsidTr="00BD4D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vAlign w:val="center"/>
          </w:tcPr>
          <w:p w:rsidR="0070455A" w:rsidRPr="008551B9" w:rsidRDefault="00636470" w:rsidP="00636470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  <w:t xml:space="preserve">Digby, </w:t>
            </w:r>
            <w:r w:rsidR="008551B9" w:rsidRPr="008551B9"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  <w:t>Geneviève</w:t>
            </w:r>
          </w:p>
        </w:tc>
        <w:tc>
          <w:tcPr>
            <w:tcW w:w="5850" w:type="dxa"/>
            <w:vAlign w:val="center"/>
          </w:tcPr>
          <w:p w:rsidR="0070455A" w:rsidRPr="008551B9" w:rsidRDefault="008551B9" w:rsidP="00BD4D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</w:rPr>
            </w:pPr>
            <w:r w:rsidRPr="008551B9">
              <w:rPr>
                <w:rFonts w:ascii="Calibri" w:hAnsi="Calibri"/>
                <w:color w:val="000000"/>
                <w:sz w:val="24"/>
              </w:rPr>
              <w:t>Characterizing regional variability in lung cancer outcomes across Ontario - a population-based analysis</w:t>
            </w:r>
          </w:p>
        </w:tc>
        <w:tc>
          <w:tcPr>
            <w:tcW w:w="1180" w:type="dxa"/>
            <w:vAlign w:val="center"/>
          </w:tcPr>
          <w:p w:rsidR="0070455A" w:rsidRPr="008551B9" w:rsidRDefault="008551B9" w:rsidP="00BD4D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  <w:t>$30,000</w:t>
            </w:r>
          </w:p>
        </w:tc>
      </w:tr>
      <w:tr w:rsidR="008551B9" w:rsidRPr="00B776ED" w:rsidTr="00B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vAlign w:val="center"/>
          </w:tcPr>
          <w:p w:rsidR="008551B9" w:rsidRPr="008551B9" w:rsidRDefault="00636470" w:rsidP="00636470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Lougheed, </w:t>
            </w:r>
            <w:r w:rsidR="008551B9" w:rsidRPr="008551B9">
              <w:rPr>
                <w:rFonts w:ascii="Calibri" w:hAnsi="Calibri"/>
                <w:b w:val="0"/>
                <w:color w:val="000000"/>
                <w:sz w:val="24"/>
              </w:rPr>
              <w:t>M. Diane</w:t>
            </w:r>
          </w:p>
        </w:tc>
        <w:tc>
          <w:tcPr>
            <w:tcW w:w="5850" w:type="dxa"/>
            <w:vAlign w:val="center"/>
          </w:tcPr>
          <w:p w:rsidR="008551B9" w:rsidRPr="008551B9" w:rsidRDefault="008551B9" w:rsidP="0085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hAnsi="Calibri"/>
                <w:color w:val="000000"/>
                <w:sz w:val="24"/>
              </w:rPr>
              <w:t>Sensory-mechanical responses to mannitol in cough variant asthma and chronic cough</w:t>
            </w:r>
          </w:p>
        </w:tc>
        <w:tc>
          <w:tcPr>
            <w:tcW w:w="1180" w:type="dxa"/>
            <w:vAlign w:val="center"/>
          </w:tcPr>
          <w:p w:rsidR="008551B9" w:rsidRPr="008551B9" w:rsidRDefault="008551B9" w:rsidP="0085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  <w:t>$30,000</w:t>
            </w:r>
          </w:p>
        </w:tc>
      </w:tr>
      <w:tr w:rsidR="008551B9" w:rsidRPr="00B776ED" w:rsidTr="007923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vAlign w:val="center"/>
          </w:tcPr>
          <w:p w:rsidR="008551B9" w:rsidRPr="008551B9" w:rsidRDefault="00636470" w:rsidP="00636470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O’Donnell, </w:t>
            </w:r>
            <w:r w:rsidR="008551B9" w:rsidRPr="008551B9">
              <w:rPr>
                <w:rFonts w:ascii="Calibri" w:hAnsi="Calibri"/>
                <w:b w:val="0"/>
                <w:color w:val="000000"/>
                <w:sz w:val="24"/>
              </w:rPr>
              <w:t>Denis E.</w:t>
            </w:r>
          </w:p>
        </w:tc>
        <w:tc>
          <w:tcPr>
            <w:tcW w:w="5850" w:type="dxa"/>
            <w:vAlign w:val="center"/>
          </w:tcPr>
          <w:p w:rsidR="008551B9" w:rsidRPr="008551B9" w:rsidRDefault="008551B9" w:rsidP="007923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hAnsi="Calibri"/>
                <w:color w:val="000000"/>
                <w:sz w:val="24"/>
              </w:rPr>
              <w:t>Inhaled NO in Post-PE Syndrome</w:t>
            </w:r>
          </w:p>
        </w:tc>
        <w:tc>
          <w:tcPr>
            <w:tcW w:w="1180" w:type="dxa"/>
            <w:vAlign w:val="center"/>
          </w:tcPr>
          <w:p w:rsidR="008551B9" w:rsidRPr="008551B9" w:rsidRDefault="008551B9" w:rsidP="007923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  <w:t>$30,000</w:t>
            </w:r>
          </w:p>
        </w:tc>
      </w:tr>
      <w:tr w:rsidR="008551B9" w:rsidRPr="00B776ED" w:rsidTr="00B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vAlign w:val="center"/>
          </w:tcPr>
          <w:p w:rsidR="008551B9" w:rsidRPr="008551B9" w:rsidRDefault="00636470" w:rsidP="00636470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Ormiston, </w:t>
            </w:r>
            <w:r w:rsidR="008551B9" w:rsidRPr="008551B9">
              <w:rPr>
                <w:rFonts w:ascii="Calibri" w:hAnsi="Calibri"/>
                <w:b w:val="0"/>
                <w:color w:val="000000"/>
                <w:sz w:val="24"/>
              </w:rPr>
              <w:t>Mark</w:t>
            </w:r>
          </w:p>
        </w:tc>
        <w:tc>
          <w:tcPr>
            <w:tcW w:w="5850" w:type="dxa"/>
            <w:vAlign w:val="center"/>
          </w:tcPr>
          <w:p w:rsidR="008551B9" w:rsidRPr="008551B9" w:rsidRDefault="008551B9" w:rsidP="0085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hAnsi="Calibri"/>
                <w:color w:val="000000"/>
                <w:sz w:val="24"/>
              </w:rPr>
              <w:t>Peptide array screen for the generation of a receptor-biased form of bone morphogenetic protein 9</w:t>
            </w:r>
          </w:p>
        </w:tc>
        <w:tc>
          <w:tcPr>
            <w:tcW w:w="1180" w:type="dxa"/>
            <w:vAlign w:val="center"/>
          </w:tcPr>
          <w:p w:rsidR="008551B9" w:rsidRPr="008551B9" w:rsidRDefault="008551B9" w:rsidP="0085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8551B9"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  <w:t>$29,500</w:t>
            </w:r>
          </w:p>
        </w:tc>
      </w:tr>
    </w:tbl>
    <w:p w:rsidR="0070455A" w:rsidRDefault="0070455A" w:rsidP="0070455A">
      <w:pPr>
        <w:rPr>
          <w:rFonts w:asciiTheme="minorHAnsi" w:hAnsiTheme="minorHAnsi"/>
          <w:bCs/>
        </w:rPr>
      </w:pPr>
    </w:p>
    <w:p w:rsidR="00C15C53" w:rsidRPr="00B2293D" w:rsidRDefault="00C15C53" w:rsidP="0070455A">
      <w:pPr>
        <w:rPr>
          <w:rFonts w:asciiTheme="minorHAnsi" w:hAnsiTheme="minorHAnsi"/>
          <w:bCs/>
        </w:rPr>
      </w:pPr>
    </w:p>
    <w:p w:rsidR="00C15C53" w:rsidRDefault="00C15C53" w:rsidP="00C15C53">
      <w:pPr>
        <w:keepNext/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 w:rsidRPr="00BD0AD5">
        <w:rPr>
          <w:rFonts w:asciiTheme="minorHAnsi" w:hAnsiTheme="minorHAnsi"/>
          <w:b/>
          <w:color w:val="244061" w:themeColor="accent1" w:themeShade="80"/>
          <w:sz w:val="28"/>
        </w:rPr>
        <w:t>Neurological Sciences and Encephalitis Research</w:t>
      </w:r>
    </w:p>
    <w:tbl>
      <w:tblPr>
        <w:tblStyle w:val="LightGrid-Accent1"/>
        <w:tblW w:w="9360" w:type="dxa"/>
        <w:tblLayout w:type="fixed"/>
        <w:tblLook w:val="04A0" w:firstRow="1" w:lastRow="0" w:firstColumn="1" w:lastColumn="0" w:noHBand="0" w:noVBand="1"/>
      </w:tblPr>
      <w:tblGrid>
        <w:gridCol w:w="2240"/>
        <w:gridCol w:w="5940"/>
        <w:gridCol w:w="1180"/>
      </w:tblGrid>
      <w:tr w:rsidR="00C15C53" w:rsidRPr="00BC7EC5" w:rsidTr="0058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vAlign w:val="center"/>
          </w:tcPr>
          <w:p w:rsidR="00C15C53" w:rsidRPr="00555EFD" w:rsidRDefault="00C15C53" w:rsidP="00587493">
            <w:pPr>
              <w:keepNext/>
              <w:jc w:val="center"/>
              <w:rPr>
                <w:rFonts w:asciiTheme="minorHAnsi" w:hAnsiTheme="minorHAnsi"/>
                <w:color w:val="244061" w:themeColor="accent1" w:themeShade="80"/>
                <w:sz w:val="24"/>
              </w:rPr>
            </w:pPr>
            <w:r w:rsidRPr="00555EFD">
              <w:rPr>
                <w:rFonts w:asciiTheme="minorHAnsi" w:hAnsiTheme="minorHAnsi"/>
                <w:i/>
                <w:color w:val="244061" w:themeColor="accent1" w:themeShade="80"/>
                <w:sz w:val="24"/>
              </w:rPr>
              <w:t xml:space="preserve">Harry </w:t>
            </w:r>
            <w:proofErr w:type="spellStart"/>
            <w:r w:rsidRPr="00555EFD">
              <w:rPr>
                <w:rFonts w:asciiTheme="minorHAnsi" w:hAnsiTheme="minorHAnsi"/>
                <w:i/>
                <w:color w:val="244061" w:themeColor="accent1" w:themeShade="80"/>
                <w:sz w:val="24"/>
              </w:rPr>
              <w:t>Botterell</w:t>
            </w:r>
            <w:proofErr w:type="spellEnd"/>
            <w:r w:rsidRPr="00555EFD">
              <w:rPr>
                <w:rFonts w:asciiTheme="minorHAnsi" w:hAnsiTheme="minorHAnsi"/>
                <w:i/>
                <w:color w:val="244061" w:themeColor="accent1" w:themeShade="80"/>
                <w:sz w:val="24"/>
              </w:rPr>
              <w:t xml:space="preserve"> Foundation for Neurological Sciences</w:t>
            </w:r>
            <w:r w:rsidRPr="00555EFD">
              <w:rPr>
                <w:rFonts w:asciiTheme="minorHAnsi" w:hAnsiTheme="minorHAnsi"/>
                <w:i/>
                <w:color w:val="244061" w:themeColor="accent1" w:themeShade="80"/>
                <w:sz w:val="24"/>
              </w:rPr>
              <w:br/>
              <w:t>Dr. James B. Howe Endowment Fund</w:t>
            </w:r>
            <w:r w:rsidRPr="00555EFD">
              <w:rPr>
                <w:rFonts w:asciiTheme="minorHAnsi" w:hAnsiTheme="minorHAnsi"/>
                <w:i/>
                <w:color w:val="244061" w:themeColor="accent1" w:themeShade="80"/>
                <w:sz w:val="24"/>
              </w:rPr>
              <w:br/>
              <w:t>Violet E. Powell Endowed Funds</w:t>
            </w:r>
          </w:p>
          <w:p w:rsidR="00C15C53" w:rsidRPr="00555EFD" w:rsidRDefault="00C15C53" w:rsidP="00587493">
            <w:pPr>
              <w:keepNext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555EFD"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  <w:t>(Faculty of Health Sciences)</w:t>
            </w:r>
          </w:p>
        </w:tc>
      </w:tr>
      <w:tr w:rsidR="00C15C53" w:rsidRPr="00BC7EC5" w:rsidTr="0058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C15C53" w:rsidRPr="00BC7EC5" w:rsidRDefault="00C15C53" w:rsidP="0058749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</w:t>
            </w:r>
            <w:r w:rsidRPr="00BC7EC5">
              <w:rPr>
                <w:rFonts w:asciiTheme="minorHAnsi" w:hAnsiTheme="minorHAnsi"/>
                <w:sz w:val="24"/>
              </w:rPr>
              <w:t>(s)</w:t>
            </w:r>
          </w:p>
        </w:tc>
        <w:tc>
          <w:tcPr>
            <w:tcW w:w="5940" w:type="dxa"/>
          </w:tcPr>
          <w:p w:rsidR="00C15C53" w:rsidRPr="00BC7EC5" w:rsidRDefault="00C15C53" w:rsidP="0058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BC7EC5">
              <w:rPr>
                <w:rFonts w:asciiTheme="minorHAnsi" w:hAnsiTheme="minorHAnsi"/>
                <w:b/>
                <w:sz w:val="24"/>
              </w:rPr>
              <w:t>Project Title</w:t>
            </w:r>
          </w:p>
        </w:tc>
        <w:tc>
          <w:tcPr>
            <w:tcW w:w="1180" w:type="dxa"/>
          </w:tcPr>
          <w:p w:rsidR="00C15C53" w:rsidRPr="00BC7EC5" w:rsidRDefault="00C15C53" w:rsidP="0058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BC7EC5">
              <w:rPr>
                <w:rFonts w:asciiTheme="minorHAnsi" w:hAnsiTheme="minorHAnsi"/>
                <w:b/>
                <w:sz w:val="24"/>
              </w:rPr>
              <w:t>Amount</w:t>
            </w:r>
          </w:p>
        </w:tc>
      </w:tr>
      <w:tr w:rsidR="00C15C53" w:rsidTr="00587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C15C53" w:rsidRPr="00AE33CD" w:rsidRDefault="00C15C53" w:rsidP="00587493">
            <w:pPr>
              <w:rPr>
                <w:rFonts w:ascii="Calibri" w:hAnsi="Calibri"/>
                <w:b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Gallivan, </w:t>
            </w:r>
            <w:r w:rsidRPr="00AE33CD">
              <w:rPr>
                <w:rFonts w:ascii="Calibri" w:hAnsi="Calibri"/>
                <w:b w:val="0"/>
                <w:color w:val="000000"/>
                <w:sz w:val="24"/>
              </w:rPr>
              <w:t xml:space="preserve">Jason </w:t>
            </w:r>
            <w:r>
              <w:rPr>
                <w:rFonts w:ascii="Calibri" w:hAnsi="Calibri"/>
                <w:b w:val="0"/>
                <w:color w:val="000000"/>
                <w:sz w:val="24"/>
              </w:rPr>
              <w:t>and Levy, Ron</w:t>
            </w:r>
          </w:p>
        </w:tc>
        <w:tc>
          <w:tcPr>
            <w:tcW w:w="5940" w:type="dxa"/>
            <w:vAlign w:val="center"/>
          </w:tcPr>
          <w:p w:rsidR="00C15C53" w:rsidRPr="00AE33CD" w:rsidRDefault="00C15C53" w:rsidP="00587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  <w:color w:val="000000"/>
                <w:sz w:val="24"/>
              </w:rPr>
            </w:pPr>
            <w:r w:rsidRPr="00AE33CD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>Functional neuroimaging-guided enhancement of deep brain stimulation therapy</w:t>
            </w:r>
          </w:p>
        </w:tc>
        <w:tc>
          <w:tcPr>
            <w:tcW w:w="1180" w:type="dxa"/>
            <w:vAlign w:val="center"/>
          </w:tcPr>
          <w:p w:rsidR="00C15C53" w:rsidRPr="00AE33CD" w:rsidRDefault="00C15C53" w:rsidP="00587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  <w:color w:val="000000"/>
                <w:sz w:val="24"/>
              </w:rPr>
            </w:pPr>
            <w:r w:rsidRPr="00AE33CD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>$25,500</w:t>
            </w:r>
          </w:p>
        </w:tc>
      </w:tr>
      <w:tr w:rsidR="00C15C53" w:rsidRPr="00555EFD" w:rsidTr="0058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C15C53" w:rsidRPr="00AE33CD" w:rsidRDefault="00C15C53" w:rsidP="00587493">
            <w:pPr>
              <w:rPr>
                <w:rFonts w:ascii="Calibri" w:hAnsi="Calibri"/>
                <w:b w:val="0"/>
                <w:color w:val="000000"/>
                <w:sz w:val="24"/>
              </w:rPr>
            </w:pPr>
            <w:r>
              <w:rPr>
                <w:rFonts w:ascii="Calibri" w:hAnsi="Calibri"/>
                <w:b w:val="0"/>
                <w:color w:val="000000"/>
                <w:sz w:val="24"/>
              </w:rPr>
              <w:t xml:space="preserve">Brietzke, </w:t>
            </w:r>
            <w:r w:rsidRPr="00AE33CD">
              <w:rPr>
                <w:rFonts w:ascii="Calibri" w:hAnsi="Calibri"/>
                <w:b w:val="0"/>
                <w:color w:val="000000"/>
                <w:sz w:val="24"/>
              </w:rPr>
              <w:t xml:space="preserve">Elisa </w:t>
            </w:r>
            <w:r>
              <w:rPr>
                <w:rFonts w:ascii="Calibri" w:hAnsi="Calibri"/>
                <w:b w:val="0"/>
                <w:color w:val="000000"/>
                <w:sz w:val="24"/>
              </w:rPr>
              <w:t>and Soares, Claudio</w:t>
            </w:r>
          </w:p>
        </w:tc>
        <w:tc>
          <w:tcPr>
            <w:tcW w:w="5940" w:type="dxa"/>
            <w:vAlign w:val="center"/>
          </w:tcPr>
          <w:p w:rsidR="00C15C53" w:rsidRPr="00AE33CD" w:rsidRDefault="00C15C53" w:rsidP="0058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  <w:color w:val="000000"/>
                <w:sz w:val="24"/>
              </w:rPr>
            </w:pPr>
            <w:r w:rsidRPr="00AE33CD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>Clinical, Cognitive and Biological Outcomes of Ketogenic Therapy in Major Depressive Disorder: a Multisite Double-Blind Randomized Controlled Trial</w:t>
            </w:r>
          </w:p>
        </w:tc>
        <w:tc>
          <w:tcPr>
            <w:tcW w:w="1180" w:type="dxa"/>
            <w:vAlign w:val="center"/>
          </w:tcPr>
          <w:p w:rsidR="00C15C53" w:rsidRPr="00AE33CD" w:rsidRDefault="00C15C53" w:rsidP="0058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  <w:color w:val="000000"/>
                <w:sz w:val="24"/>
              </w:rPr>
            </w:pPr>
            <w:r w:rsidRPr="00AE33CD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>$24,500</w:t>
            </w:r>
          </w:p>
        </w:tc>
      </w:tr>
    </w:tbl>
    <w:p w:rsidR="0070455A" w:rsidRPr="00B776ED" w:rsidRDefault="0070455A" w:rsidP="0070455A">
      <w:pPr>
        <w:rPr>
          <w:rFonts w:asciiTheme="minorHAnsi" w:hAnsiTheme="minorHAnsi"/>
          <w:bCs/>
        </w:rPr>
      </w:pPr>
    </w:p>
    <w:p w:rsidR="0070455A" w:rsidRPr="00BD0AD5" w:rsidRDefault="0070455A" w:rsidP="0070455A">
      <w:pPr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 w:rsidRPr="00BD0AD5">
        <w:rPr>
          <w:rFonts w:asciiTheme="minorHAnsi" w:hAnsiTheme="minorHAnsi"/>
          <w:b/>
          <w:color w:val="244061" w:themeColor="accent1" w:themeShade="80"/>
          <w:sz w:val="28"/>
        </w:rPr>
        <w:lastRenderedPageBreak/>
        <w:t>Cardiovascular Research</w:t>
      </w:r>
      <w:r w:rsidRPr="00B776ED">
        <w:rPr>
          <w:rFonts w:asciiTheme="minorHAnsi" w:hAnsiTheme="minorHAnsi"/>
          <w:i/>
          <w:sz w:val="24"/>
        </w:rPr>
        <w:t xml:space="preserve"> </w:t>
      </w:r>
    </w:p>
    <w:tbl>
      <w:tblPr>
        <w:tblStyle w:val="LightGrid-Accent1"/>
        <w:tblW w:w="9350" w:type="dxa"/>
        <w:tblLayout w:type="fixed"/>
        <w:tblLook w:val="04A0" w:firstRow="1" w:lastRow="0" w:firstColumn="1" w:lastColumn="0" w:noHBand="0" w:noVBand="1"/>
      </w:tblPr>
      <w:tblGrid>
        <w:gridCol w:w="2240"/>
        <w:gridCol w:w="5940"/>
        <w:gridCol w:w="1170"/>
      </w:tblGrid>
      <w:tr w:rsidR="0070455A" w:rsidRPr="00BC7EC5" w:rsidTr="00BD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70455A" w:rsidRDefault="0070455A" w:rsidP="00AB1555">
            <w:pPr>
              <w:jc w:val="center"/>
              <w:rPr>
                <w:rFonts w:asciiTheme="minorHAnsi" w:hAnsiTheme="minorHAnsi"/>
                <w:i/>
                <w:sz w:val="24"/>
              </w:rPr>
            </w:pPr>
            <w:r w:rsidRPr="00BC7EC5">
              <w:rPr>
                <w:rFonts w:asciiTheme="minorHAnsi" w:hAnsiTheme="minorHAnsi"/>
                <w:i/>
                <w:sz w:val="24"/>
              </w:rPr>
              <w:t>Garfield Kelly Cardiovascular Research &amp; Development Fund</w:t>
            </w:r>
          </w:p>
          <w:p w:rsidR="0070455A" w:rsidRPr="00BC7EC5" w:rsidRDefault="0070455A" w:rsidP="00AB1555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BC7EC5">
              <w:rPr>
                <w:rFonts w:asciiTheme="minorHAnsi" w:hAnsiTheme="minorHAnsi"/>
                <w:b w:val="0"/>
                <w:sz w:val="24"/>
              </w:rPr>
              <w:t>(Faculty of Health Sciences)</w:t>
            </w:r>
          </w:p>
        </w:tc>
      </w:tr>
      <w:tr w:rsidR="0070455A" w:rsidRPr="00BC7EC5" w:rsidTr="00B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70455A" w:rsidRPr="00BC7EC5" w:rsidRDefault="0070455A" w:rsidP="00AB155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</w:t>
            </w:r>
            <w:r w:rsidRPr="00BC7EC5">
              <w:rPr>
                <w:rFonts w:asciiTheme="minorHAnsi" w:hAnsiTheme="minorHAnsi"/>
                <w:sz w:val="24"/>
              </w:rPr>
              <w:t>(s)</w:t>
            </w:r>
          </w:p>
        </w:tc>
        <w:tc>
          <w:tcPr>
            <w:tcW w:w="5940" w:type="dxa"/>
          </w:tcPr>
          <w:p w:rsidR="0070455A" w:rsidRPr="00BC7EC5" w:rsidRDefault="0070455A" w:rsidP="00A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BC7EC5">
              <w:rPr>
                <w:rFonts w:asciiTheme="minorHAnsi" w:hAnsiTheme="minorHAnsi"/>
                <w:b/>
                <w:sz w:val="24"/>
              </w:rPr>
              <w:t>Project Title</w:t>
            </w:r>
          </w:p>
        </w:tc>
        <w:tc>
          <w:tcPr>
            <w:tcW w:w="1170" w:type="dxa"/>
          </w:tcPr>
          <w:p w:rsidR="0070455A" w:rsidRPr="00BC7EC5" w:rsidRDefault="0070455A" w:rsidP="00A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BC7EC5">
              <w:rPr>
                <w:rFonts w:asciiTheme="minorHAnsi" w:hAnsiTheme="minorHAnsi"/>
                <w:b/>
                <w:sz w:val="24"/>
              </w:rPr>
              <w:t>Amount</w:t>
            </w:r>
          </w:p>
        </w:tc>
      </w:tr>
      <w:tr w:rsidR="0070455A" w:rsidRPr="00AA2D83" w:rsidTr="00BD4D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70455A" w:rsidRPr="00AA2D83" w:rsidRDefault="00AA2D83" w:rsidP="00BD4D6E">
            <w:pPr>
              <w:rPr>
                <w:rFonts w:ascii="Calibri" w:hAnsi="Calibri"/>
                <w:b w:val="0"/>
                <w:color w:val="000000"/>
                <w:sz w:val="24"/>
              </w:rPr>
            </w:pPr>
            <w:r w:rsidRPr="00AA2D83">
              <w:rPr>
                <w:rFonts w:ascii="Calibri" w:hAnsi="Calibri"/>
                <w:b w:val="0"/>
                <w:color w:val="000000"/>
                <w:sz w:val="24"/>
              </w:rPr>
              <w:t>Maurice, Donald</w:t>
            </w:r>
          </w:p>
        </w:tc>
        <w:tc>
          <w:tcPr>
            <w:tcW w:w="5940" w:type="dxa"/>
            <w:vAlign w:val="center"/>
          </w:tcPr>
          <w:p w:rsidR="0070455A" w:rsidRPr="00AA2D83" w:rsidRDefault="00AA2D83" w:rsidP="00BD4D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  <w:color w:val="000000"/>
                <w:sz w:val="24"/>
              </w:rPr>
            </w:pPr>
            <w:r w:rsidRPr="00AA2D83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 xml:space="preserve">Adaptive </w:t>
            </w:r>
            <w:proofErr w:type="spellStart"/>
            <w:r w:rsidRPr="00AA2D83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>Hyperlocalised</w:t>
            </w:r>
            <w:proofErr w:type="spellEnd"/>
            <w:r w:rsidRPr="00AA2D83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 xml:space="preserve"> Signalling at the Endothelial Primary Cilia</w:t>
            </w:r>
          </w:p>
        </w:tc>
        <w:tc>
          <w:tcPr>
            <w:tcW w:w="1170" w:type="dxa"/>
            <w:vAlign w:val="center"/>
          </w:tcPr>
          <w:p w:rsidR="0070455A" w:rsidRPr="00AA2D83" w:rsidRDefault="00AA2D83" w:rsidP="00BD4D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  <w:color w:val="000000"/>
                <w:sz w:val="24"/>
              </w:rPr>
            </w:pPr>
            <w:r w:rsidRPr="00AA2D83">
              <w:rPr>
                <w:rFonts w:ascii="Calibri" w:eastAsiaTheme="majorEastAsia" w:hAnsi="Calibri" w:cstheme="majorBidi"/>
                <w:bCs/>
                <w:color w:val="000000"/>
                <w:sz w:val="24"/>
              </w:rPr>
              <w:t>$25,700</w:t>
            </w:r>
          </w:p>
        </w:tc>
      </w:tr>
    </w:tbl>
    <w:p w:rsidR="0070455A" w:rsidRDefault="0070455A" w:rsidP="0070455A">
      <w:pPr>
        <w:rPr>
          <w:rFonts w:asciiTheme="minorHAnsi" w:hAnsiTheme="minorHAnsi"/>
          <w:b/>
          <w:color w:val="244061" w:themeColor="accent1" w:themeShade="80"/>
        </w:rPr>
      </w:pPr>
    </w:p>
    <w:p w:rsidR="00B2293D" w:rsidRPr="00B2293D" w:rsidRDefault="00B2293D" w:rsidP="00C66E01">
      <w:pPr>
        <w:rPr>
          <w:rFonts w:asciiTheme="minorHAnsi" w:hAnsiTheme="minorHAnsi"/>
        </w:rPr>
      </w:pPr>
    </w:p>
    <w:p w:rsidR="00B2293D" w:rsidRPr="00B2293D" w:rsidRDefault="00B2293D" w:rsidP="00B2293D">
      <w:pPr>
        <w:rPr>
          <w:rFonts w:asciiTheme="minorHAnsi" w:hAnsiTheme="minorHAnsi"/>
          <w:bCs/>
        </w:rPr>
      </w:pPr>
    </w:p>
    <w:p w:rsidR="00B2293D" w:rsidRPr="00B2293D" w:rsidRDefault="00AE33CD" w:rsidP="00B2293D">
      <w:pPr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>
        <w:rPr>
          <w:rFonts w:asciiTheme="minorHAnsi" w:hAnsiTheme="minorHAnsi"/>
          <w:b/>
          <w:color w:val="244061" w:themeColor="accent1" w:themeShade="80"/>
          <w:sz w:val="28"/>
        </w:rPr>
        <w:t>Spinal Cord Research</w:t>
      </w:r>
    </w:p>
    <w:tbl>
      <w:tblPr>
        <w:tblStyle w:val="LightGrid-Accent1"/>
        <w:tblW w:w="9350" w:type="dxa"/>
        <w:tblLook w:val="04A0" w:firstRow="1" w:lastRow="0" w:firstColumn="1" w:lastColumn="0" w:noHBand="0" w:noVBand="1"/>
      </w:tblPr>
      <w:tblGrid>
        <w:gridCol w:w="2060"/>
        <w:gridCol w:w="6120"/>
        <w:gridCol w:w="1170"/>
      </w:tblGrid>
      <w:tr w:rsidR="00B2293D" w:rsidRPr="00B2293D" w:rsidTr="00AB1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B2293D" w:rsidRPr="00B2293D" w:rsidRDefault="00AE33CD" w:rsidP="00B2293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E33CD">
              <w:rPr>
                <w:rFonts w:asciiTheme="minorHAnsi" w:eastAsiaTheme="minorHAnsi" w:hAnsiTheme="minorHAnsi" w:cstheme="minorBidi"/>
                <w:i/>
              </w:rPr>
              <w:t>Mark S. Lodge Fund in Spinal Cord Research</w:t>
            </w:r>
            <w:r w:rsidR="00B2293D" w:rsidRPr="00B2293D">
              <w:rPr>
                <w:rFonts w:asciiTheme="minorHAnsi" w:eastAsiaTheme="minorHAnsi" w:hAnsiTheme="minorHAnsi" w:cstheme="minorBidi"/>
                <w:i/>
              </w:rPr>
              <w:t>)</w:t>
            </w:r>
          </w:p>
          <w:p w:rsidR="00B2293D" w:rsidRPr="00B2293D" w:rsidRDefault="00AE33CD" w:rsidP="00B2293D">
            <w:pPr>
              <w:jc w:val="center"/>
              <w:rPr>
                <w:rFonts w:asciiTheme="minorHAnsi" w:eastAsiaTheme="minorHAnsi" w:hAnsiTheme="minorHAnsi" w:cstheme="minorBidi"/>
                <w:b w:val="0"/>
              </w:rPr>
            </w:pPr>
            <w:r w:rsidRPr="00AE33CD">
              <w:rPr>
                <w:rFonts w:asciiTheme="minorHAnsi" w:eastAsiaTheme="minorHAnsi" w:hAnsiTheme="minorHAnsi" w:cstheme="minorBidi"/>
                <w:b w:val="0"/>
              </w:rPr>
              <w:t>(Faculty of Health Sciences)</w:t>
            </w:r>
          </w:p>
        </w:tc>
      </w:tr>
      <w:tr w:rsidR="00B2293D" w:rsidRPr="00B2293D" w:rsidTr="00AB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B2293D" w:rsidRPr="00B2293D" w:rsidRDefault="00B2293D" w:rsidP="00B2293D">
            <w:pPr>
              <w:rPr>
                <w:rFonts w:asciiTheme="minorHAnsi" w:eastAsiaTheme="minorHAnsi" w:hAnsiTheme="minorHAnsi" w:cstheme="minorBidi"/>
              </w:rPr>
            </w:pPr>
            <w:r w:rsidRPr="00B2293D">
              <w:rPr>
                <w:rFonts w:asciiTheme="minorHAnsi" w:eastAsiaTheme="minorHAnsi" w:hAnsiTheme="minorHAnsi" w:cstheme="minorBidi"/>
              </w:rPr>
              <w:t>PI(s)</w:t>
            </w:r>
          </w:p>
        </w:tc>
        <w:tc>
          <w:tcPr>
            <w:tcW w:w="6120" w:type="dxa"/>
          </w:tcPr>
          <w:p w:rsidR="00B2293D" w:rsidRPr="00B2293D" w:rsidRDefault="00B2293D" w:rsidP="00B2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2293D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1170" w:type="dxa"/>
          </w:tcPr>
          <w:p w:rsidR="00B2293D" w:rsidRPr="00B2293D" w:rsidRDefault="00B2293D" w:rsidP="00B2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B2293D">
              <w:rPr>
                <w:rFonts w:asciiTheme="minorHAnsi" w:hAnsiTheme="minorHAnsi"/>
                <w:b/>
              </w:rPr>
              <w:t>Amount</w:t>
            </w:r>
          </w:p>
        </w:tc>
      </w:tr>
      <w:tr w:rsidR="00B2293D" w:rsidRPr="00C15C53" w:rsidTr="001A1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vAlign w:val="center"/>
            <w:hideMark/>
          </w:tcPr>
          <w:p w:rsidR="00B2293D" w:rsidRPr="00C15C53" w:rsidRDefault="00AE33CD" w:rsidP="00BD4D6E">
            <w:pPr>
              <w:rPr>
                <w:rFonts w:ascii="Calibri" w:eastAsiaTheme="minorHAnsi" w:hAnsi="Calibri" w:cstheme="minorBidi"/>
                <w:b w:val="0"/>
                <w:sz w:val="24"/>
              </w:rPr>
            </w:pPr>
            <w:r w:rsidRPr="00C15C53">
              <w:rPr>
                <w:rFonts w:ascii="Calibri" w:hAnsi="Calibri" w:cs="Arial"/>
                <w:b w:val="0"/>
                <w:color w:val="000000"/>
                <w:sz w:val="24"/>
              </w:rPr>
              <w:t>Kawaja, Michael</w:t>
            </w:r>
          </w:p>
        </w:tc>
        <w:tc>
          <w:tcPr>
            <w:tcW w:w="6120" w:type="dxa"/>
            <w:vAlign w:val="center"/>
          </w:tcPr>
          <w:p w:rsidR="00B2293D" w:rsidRPr="00C15C53" w:rsidRDefault="00AE33CD" w:rsidP="00AE3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="Arial"/>
                <w:bCs/>
                <w:color w:val="000000"/>
                <w:sz w:val="24"/>
              </w:rPr>
            </w:pPr>
            <w:proofErr w:type="spellStart"/>
            <w:r w:rsidRPr="00C15C53">
              <w:rPr>
                <w:rFonts w:ascii="Calibri" w:eastAsiaTheme="majorEastAsia" w:hAnsi="Calibri" w:cs="Arial"/>
                <w:bCs/>
                <w:color w:val="000000"/>
                <w:sz w:val="24"/>
              </w:rPr>
              <w:t>Intraspinal</w:t>
            </w:r>
            <w:proofErr w:type="spellEnd"/>
            <w:r w:rsidRPr="00C15C53">
              <w:rPr>
                <w:rFonts w:ascii="Calibri" w:eastAsiaTheme="majorEastAsia" w:hAnsi="Calibri" w:cs="Arial"/>
                <w:bCs/>
                <w:color w:val="000000"/>
                <w:sz w:val="24"/>
              </w:rPr>
              <w:t xml:space="preserve"> grafts of olfactory </w:t>
            </w:r>
            <w:proofErr w:type="spellStart"/>
            <w:r w:rsidRPr="00C15C53">
              <w:rPr>
                <w:rFonts w:ascii="Calibri" w:eastAsiaTheme="majorEastAsia" w:hAnsi="Calibri" w:cs="Arial"/>
                <w:bCs/>
                <w:color w:val="000000"/>
                <w:sz w:val="24"/>
              </w:rPr>
              <w:t>ensheathing</w:t>
            </w:r>
            <w:proofErr w:type="spellEnd"/>
            <w:r w:rsidRPr="00C15C53">
              <w:rPr>
                <w:rFonts w:ascii="Calibri" w:eastAsiaTheme="majorEastAsia" w:hAnsi="Calibri" w:cs="Arial"/>
                <w:bCs/>
                <w:color w:val="000000"/>
                <w:sz w:val="24"/>
              </w:rPr>
              <w:t xml:space="preserve"> cell (OEC) matrices facilitate central axon regeneration in the injured spinal cords of adult rats</w:t>
            </w:r>
          </w:p>
        </w:tc>
        <w:tc>
          <w:tcPr>
            <w:tcW w:w="1170" w:type="dxa"/>
            <w:vAlign w:val="center"/>
          </w:tcPr>
          <w:p w:rsidR="00B2293D" w:rsidRPr="00C15C53" w:rsidRDefault="001A1991" w:rsidP="00AE3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C15C53">
              <w:rPr>
                <w:rFonts w:ascii="Calibri" w:hAnsi="Calibri" w:cs="Arial"/>
                <w:color w:val="000000"/>
                <w:sz w:val="24"/>
              </w:rPr>
              <w:t>$</w:t>
            </w:r>
            <w:r w:rsidR="00AE33CD" w:rsidRPr="00C15C53">
              <w:rPr>
                <w:rFonts w:ascii="Calibri" w:hAnsi="Calibri" w:cs="Arial"/>
                <w:color w:val="000000"/>
                <w:sz w:val="24"/>
              </w:rPr>
              <w:t>13,500</w:t>
            </w:r>
          </w:p>
        </w:tc>
      </w:tr>
    </w:tbl>
    <w:p w:rsidR="00D453EF" w:rsidRDefault="00D453EF" w:rsidP="00D453EF">
      <w:pPr>
        <w:rPr>
          <w:rFonts w:asciiTheme="minorHAnsi" w:hAnsiTheme="minorHAnsi"/>
        </w:rPr>
      </w:pPr>
    </w:p>
    <w:p w:rsidR="001A1991" w:rsidRDefault="001A1991" w:rsidP="00D453EF">
      <w:pPr>
        <w:rPr>
          <w:rFonts w:asciiTheme="minorHAnsi" w:hAnsiTheme="minorHAnsi"/>
        </w:rPr>
      </w:pPr>
    </w:p>
    <w:p w:rsidR="001A1991" w:rsidRPr="00BD0AD5" w:rsidRDefault="001A1991" w:rsidP="001A1991">
      <w:pPr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 w:rsidRPr="002E1977">
        <w:rPr>
          <w:rFonts w:asciiTheme="minorHAnsi" w:hAnsiTheme="minorHAnsi"/>
          <w:b/>
          <w:color w:val="244061" w:themeColor="accent1" w:themeShade="80"/>
          <w:sz w:val="28"/>
        </w:rPr>
        <w:t>Cancer Research</w:t>
      </w:r>
    </w:p>
    <w:tbl>
      <w:tblPr>
        <w:tblStyle w:val="LightGrid-Accent1"/>
        <w:tblW w:w="9350" w:type="dxa"/>
        <w:tblLayout w:type="fixed"/>
        <w:tblLook w:val="04A0" w:firstRow="1" w:lastRow="0" w:firstColumn="1" w:lastColumn="0" w:noHBand="0" w:noVBand="1"/>
      </w:tblPr>
      <w:tblGrid>
        <w:gridCol w:w="2030"/>
        <w:gridCol w:w="6240"/>
        <w:gridCol w:w="1080"/>
      </w:tblGrid>
      <w:tr w:rsidR="001A1991" w:rsidRPr="00BC7EC5" w:rsidTr="00BD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1A1991" w:rsidRDefault="001A1991" w:rsidP="00262311">
            <w:pPr>
              <w:jc w:val="center"/>
              <w:rPr>
                <w:rFonts w:asciiTheme="minorHAnsi" w:hAnsiTheme="minorHAnsi"/>
                <w:sz w:val="24"/>
              </w:rPr>
            </w:pPr>
            <w:r w:rsidRPr="00BC7EC5">
              <w:rPr>
                <w:rFonts w:asciiTheme="minorHAnsi" w:hAnsiTheme="minorHAnsi"/>
                <w:i/>
                <w:sz w:val="24"/>
              </w:rPr>
              <w:t>Clare Nelson Bequest Fund</w:t>
            </w:r>
          </w:p>
          <w:p w:rsidR="001A1991" w:rsidRPr="002E1977" w:rsidRDefault="001A1991" w:rsidP="00262311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(University Hospitals </w:t>
            </w:r>
            <w:r w:rsidRPr="00BC7EC5">
              <w:rPr>
                <w:rFonts w:asciiTheme="minorHAnsi" w:hAnsiTheme="minorHAnsi"/>
                <w:b w:val="0"/>
                <w:sz w:val="24"/>
              </w:rPr>
              <w:t>Kingston Foundation)</w:t>
            </w:r>
          </w:p>
        </w:tc>
      </w:tr>
      <w:tr w:rsidR="001A1991" w:rsidRPr="00BC7EC5" w:rsidTr="00BD4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1A1991" w:rsidRPr="00BC7EC5" w:rsidRDefault="001A1991" w:rsidP="0026231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</w:t>
            </w:r>
            <w:r w:rsidRPr="00BC7EC5">
              <w:rPr>
                <w:rFonts w:asciiTheme="minorHAnsi" w:hAnsiTheme="minorHAnsi"/>
                <w:sz w:val="24"/>
              </w:rPr>
              <w:t>(s)</w:t>
            </w:r>
          </w:p>
        </w:tc>
        <w:tc>
          <w:tcPr>
            <w:tcW w:w="6240" w:type="dxa"/>
          </w:tcPr>
          <w:p w:rsidR="001A1991" w:rsidRPr="00BC7EC5" w:rsidRDefault="001A1991" w:rsidP="0026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BC7EC5">
              <w:rPr>
                <w:rFonts w:asciiTheme="minorHAnsi" w:hAnsiTheme="minorHAnsi"/>
                <w:b/>
                <w:sz w:val="24"/>
              </w:rPr>
              <w:t>Project Title</w:t>
            </w:r>
          </w:p>
        </w:tc>
        <w:tc>
          <w:tcPr>
            <w:tcW w:w="1080" w:type="dxa"/>
          </w:tcPr>
          <w:p w:rsidR="001A1991" w:rsidRPr="00BC7EC5" w:rsidRDefault="001A1991" w:rsidP="00262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BC7EC5">
              <w:rPr>
                <w:rFonts w:asciiTheme="minorHAnsi" w:hAnsiTheme="minorHAnsi"/>
                <w:b/>
                <w:sz w:val="24"/>
              </w:rPr>
              <w:t>Amount</w:t>
            </w:r>
          </w:p>
        </w:tc>
      </w:tr>
      <w:tr w:rsidR="001A1991" w:rsidRPr="00C15C53" w:rsidTr="00BD4D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1A1991" w:rsidRPr="00C15C53" w:rsidRDefault="00182CB1" w:rsidP="00182CB1">
            <w:pPr>
              <w:rPr>
                <w:rFonts w:ascii="Calibri" w:eastAsia="Times New Roman" w:hAnsi="Calibri" w:cs="Times New Roman"/>
                <w:b w:val="0"/>
                <w:color w:val="000000"/>
                <w:sz w:val="24"/>
                <w:lang w:eastAsia="en-CA"/>
              </w:rPr>
            </w:pPr>
            <w:r w:rsidRPr="00C15C53">
              <w:rPr>
                <w:rFonts w:ascii="Calibri" w:hAnsi="Calibri" w:cs="Arial"/>
                <w:b w:val="0"/>
                <w:color w:val="000000"/>
                <w:sz w:val="24"/>
              </w:rPr>
              <w:t>Goldie, Katie</w:t>
            </w:r>
          </w:p>
        </w:tc>
        <w:tc>
          <w:tcPr>
            <w:tcW w:w="6240" w:type="dxa"/>
            <w:vAlign w:val="center"/>
          </w:tcPr>
          <w:p w:rsidR="001A1991" w:rsidRPr="00C15C53" w:rsidRDefault="00182CB1" w:rsidP="00BD4D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C15C53">
              <w:rPr>
                <w:rFonts w:ascii="Calibri" w:hAnsi="Calibri" w:cs="Arial"/>
                <w:color w:val="000000"/>
                <w:sz w:val="24"/>
              </w:rPr>
              <w:t>Immunotherapy Treatment for Patients with Non-Small Cell Lung Cancer</w:t>
            </w:r>
          </w:p>
        </w:tc>
        <w:tc>
          <w:tcPr>
            <w:tcW w:w="1080" w:type="dxa"/>
            <w:vAlign w:val="center"/>
          </w:tcPr>
          <w:p w:rsidR="001A1991" w:rsidRPr="00C15C53" w:rsidRDefault="00BD4D6E" w:rsidP="00182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en-CA"/>
              </w:rPr>
            </w:pPr>
            <w:r w:rsidRPr="00C15C53">
              <w:rPr>
                <w:rFonts w:ascii="Calibri" w:hAnsi="Calibri" w:cs="Arial"/>
                <w:color w:val="000000"/>
                <w:sz w:val="24"/>
              </w:rPr>
              <w:t>$</w:t>
            </w:r>
            <w:r w:rsidR="00182CB1" w:rsidRPr="00C15C53">
              <w:rPr>
                <w:rFonts w:ascii="Calibri" w:hAnsi="Calibri" w:cs="Arial"/>
                <w:color w:val="000000"/>
                <w:sz w:val="24"/>
              </w:rPr>
              <w:t>27,420</w:t>
            </w:r>
          </w:p>
        </w:tc>
      </w:tr>
    </w:tbl>
    <w:p w:rsidR="001A1991" w:rsidRPr="0070455A" w:rsidRDefault="001A1991" w:rsidP="001A1991">
      <w:pPr>
        <w:rPr>
          <w:rFonts w:asciiTheme="minorHAnsi" w:hAnsiTheme="minorHAnsi"/>
          <w:color w:val="244061" w:themeColor="accent1" w:themeShade="80"/>
        </w:rPr>
      </w:pPr>
    </w:p>
    <w:p w:rsidR="00C15C53" w:rsidRPr="00C15C53" w:rsidRDefault="00C15C53" w:rsidP="00C15C53">
      <w:pPr>
        <w:rPr>
          <w:rFonts w:asciiTheme="minorHAnsi" w:hAnsiTheme="minorHAnsi"/>
          <w:bCs/>
        </w:rPr>
      </w:pPr>
    </w:p>
    <w:p w:rsidR="00C15C53" w:rsidRPr="00C15C53" w:rsidRDefault="00C15C53" w:rsidP="00C15C53">
      <w:pPr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>
        <w:rPr>
          <w:rFonts w:asciiTheme="minorHAnsi" w:hAnsiTheme="minorHAnsi"/>
          <w:b/>
          <w:color w:val="244061" w:themeColor="accent1" w:themeShade="80"/>
          <w:sz w:val="28"/>
        </w:rPr>
        <w:t>Pain Management</w:t>
      </w:r>
    </w:p>
    <w:tbl>
      <w:tblPr>
        <w:tblStyle w:val="LightGrid-Accent1"/>
        <w:tblW w:w="9350" w:type="dxa"/>
        <w:tblLayout w:type="fixed"/>
        <w:tblLook w:val="04A0" w:firstRow="1" w:lastRow="0" w:firstColumn="1" w:lastColumn="0" w:noHBand="0" w:noVBand="1"/>
      </w:tblPr>
      <w:tblGrid>
        <w:gridCol w:w="2030"/>
        <w:gridCol w:w="6240"/>
        <w:gridCol w:w="1080"/>
      </w:tblGrid>
      <w:tr w:rsidR="00C15C53" w:rsidRPr="00C15C53" w:rsidTr="00E82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C15C53" w:rsidRDefault="00C15C53" w:rsidP="00C15C53">
            <w:pPr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C15C53">
              <w:rPr>
                <w:rFonts w:asciiTheme="minorHAnsi" w:eastAsiaTheme="minorHAnsi" w:hAnsiTheme="minorHAnsi" w:cstheme="minorBidi"/>
                <w:i/>
              </w:rPr>
              <w:t>Women’s Giving Circle</w:t>
            </w:r>
          </w:p>
          <w:p w:rsidR="00C15C53" w:rsidRPr="00C15C53" w:rsidRDefault="00C15C53" w:rsidP="00C15C53">
            <w:pPr>
              <w:jc w:val="center"/>
              <w:rPr>
                <w:rFonts w:asciiTheme="minorHAnsi" w:eastAsiaTheme="minorHAnsi" w:hAnsiTheme="minorHAnsi" w:cstheme="minorBidi"/>
                <w:b w:val="0"/>
              </w:rPr>
            </w:pPr>
            <w:r w:rsidRPr="00C15C53">
              <w:rPr>
                <w:rFonts w:asciiTheme="minorHAnsi" w:eastAsiaTheme="minorHAnsi" w:hAnsiTheme="minorHAnsi" w:cstheme="minorBidi"/>
                <w:b w:val="0"/>
              </w:rPr>
              <w:t>(University Hospitals Kingston Foundation)</w:t>
            </w:r>
          </w:p>
        </w:tc>
      </w:tr>
      <w:tr w:rsidR="00C15C53" w:rsidRPr="00C15C53" w:rsidTr="00E8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C15C53" w:rsidRPr="00C15C53" w:rsidRDefault="00C15C53" w:rsidP="00C15C53">
            <w:pPr>
              <w:rPr>
                <w:rFonts w:asciiTheme="minorHAnsi" w:eastAsiaTheme="minorHAnsi" w:hAnsiTheme="minorHAnsi" w:cstheme="minorBidi"/>
              </w:rPr>
            </w:pPr>
            <w:r w:rsidRPr="00C15C53">
              <w:rPr>
                <w:rFonts w:asciiTheme="minorHAnsi" w:eastAsiaTheme="minorHAnsi" w:hAnsiTheme="minorHAnsi" w:cstheme="minorBidi"/>
              </w:rPr>
              <w:t>PI(s)</w:t>
            </w:r>
          </w:p>
        </w:tc>
        <w:tc>
          <w:tcPr>
            <w:tcW w:w="6240" w:type="dxa"/>
          </w:tcPr>
          <w:p w:rsidR="00C15C53" w:rsidRPr="00C15C53" w:rsidRDefault="00C15C53" w:rsidP="00C1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C15C53">
              <w:rPr>
                <w:rFonts w:asciiTheme="minorHAnsi" w:hAnsiTheme="minorHAnsi"/>
                <w:b/>
                <w:bCs/>
              </w:rPr>
              <w:t>Project Title</w:t>
            </w:r>
          </w:p>
        </w:tc>
        <w:tc>
          <w:tcPr>
            <w:tcW w:w="1080" w:type="dxa"/>
          </w:tcPr>
          <w:p w:rsidR="00C15C53" w:rsidRPr="00C15C53" w:rsidRDefault="00C15C53" w:rsidP="00C15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C15C53">
              <w:rPr>
                <w:rFonts w:asciiTheme="minorHAnsi" w:hAnsiTheme="minorHAnsi"/>
                <w:b/>
                <w:bCs/>
              </w:rPr>
              <w:t>Amount</w:t>
            </w:r>
          </w:p>
        </w:tc>
      </w:tr>
      <w:tr w:rsidR="00C15C53" w:rsidRPr="00C15C53" w:rsidTr="00E825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Align w:val="center"/>
          </w:tcPr>
          <w:p w:rsidR="00C15C53" w:rsidRPr="00C15C53" w:rsidRDefault="00C15C53" w:rsidP="00C15C53">
            <w:pPr>
              <w:rPr>
                <w:rFonts w:asciiTheme="minorHAnsi" w:eastAsiaTheme="minorHAnsi" w:hAnsiTheme="minorHAnsi" w:cstheme="minorBidi"/>
                <w:b w:val="0"/>
              </w:rPr>
            </w:pPr>
            <w:r>
              <w:rPr>
                <w:rFonts w:asciiTheme="minorHAnsi" w:eastAsiaTheme="minorHAnsi" w:hAnsiTheme="minorHAnsi" w:cstheme="minorBidi"/>
                <w:b w:val="0"/>
              </w:rPr>
              <w:t>Jordan, Miller</w:t>
            </w:r>
          </w:p>
        </w:tc>
        <w:tc>
          <w:tcPr>
            <w:tcW w:w="6240" w:type="dxa"/>
            <w:vAlign w:val="center"/>
          </w:tcPr>
          <w:p w:rsidR="00C15C53" w:rsidRPr="00C15C53" w:rsidRDefault="00C15C53" w:rsidP="00C15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C15C53">
              <w:rPr>
                <w:rFonts w:asciiTheme="minorHAnsi" w:hAnsiTheme="minorHAnsi"/>
                <w:bCs/>
              </w:rPr>
              <w:t>Development and feasibility testing of an advanced practice physiotherapy role in chronic pain management</w:t>
            </w:r>
          </w:p>
        </w:tc>
        <w:tc>
          <w:tcPr>
            <w:tcW w:w="1080" w:type="dxa"/>
            <w:vAlign w:val="center"/>
          </w:tcPr>
          <w:p w:rsidR="00C15C53" w:rsidRPr="00C15C53" w:rsidRDefault="00C15C53" w:rsidP="00C15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$53,163</w:t>
            </w:r>
          </w:p>
        </w:tc>
      </w:tr>
    </w:tbl>
    <w:p w:rsidR="00C15C53" w:rsidRPr="00C15C53" w:rsidRDefault="00C15C53" w:rsidP="00C15C53">
      <w:pPr>
        <w:rPr>
          <w:rFonts w:asciiTheme="minorHAnsi" w:hAnsiTheme="minorHAnsi"/>
          <w:bCs/>
        </w:rPr>
      </w:pPr>
    </w:p>
    <w:p w:rsidR="00196932" w:rsidRPr="00AE33CD" w:rsidRDefault="00196932" w:rsidP="00196932">
      <w:pPr>
        <w:rPr>
          <w:rFonts w:asciiTheme="minorHAnsi" w:hAnsiTheme="minorHAnsi"/>
          <w:bCs/>
        </w:rPr>
      </w:pPr>
    </w:p>
    <w:p w:rsidR="00196932" w:rsidRPr="00AE33CD" w:rsidRDefault="00196932" w:rsidP="00196932">
      <w:pPr>
        <w:jc w:val="center"/>
        <w:rPr>
          <w:rFonts w:asciiTheme="minorHAnsi" w:hAnsiTheme="minorHAnsi"/>
          <w:b/>
          <w:color w:val="244061" w:themeColor="accent1" w:themeShade="80"/>
          <w:sz w:val="28"/>
        </w:rPr>
      </w:pPr>
      <w:r w:rsidRPr="00AE33CD">
        <w:rPr>
          <w:rFonts w:asciiTheme="minorHAnsi" w:hAnsiTheme="minorHAnsi"/>
          <w:b/>
          <w:color w:val="244061" w:themeColor="accent1" w:themeShade="80"/>
          <w:sz w:val="28"/>
        </w:rPr>
        <w:t>Prostate Cancer Research</w:t>
      </w:r>
    </w:p>
    <w:tbl>
      <w:tblPr>
        <w:tblStyle w:val="LightGrid-Accent1"/>
        <w:tblW w:w="9350" w:type="dxa"/>
        <w:tblLook w:val="04A0" w:firstRow="1" w:lastRow="0" w:firstColumn="1" w:lastColumn="0" w:noHBand="0" w:noVBand="1"/>
      </w:tblPr>
      <w:tblGrid>
        <w:gridCol w:w="2060"/>
        <w:gridCol w:w="6120"/>
        <w:gridCol w:w="1170"/>
      </w:tblGrid>
      <w:tr w:rsidR="00196932" w:rsidRPr="00AE33CD" w:rsidTr="00B82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196932" w:rsidRPr="00AE33CD" w:rsidRDefault="00196932" w:rsidP="00B82CF1">
            <w:pPr>
              <w:jc w:val="center"/>
              <w:rPr>
                <w:rFonts w:asciiTheme="minorHAnsi" w:eastAsiaTheme="minorHAnsi" w:hAnsiTheme="minorHAnsi" w:cstheme="minorBidi"/>
                <w:i/>
              </w:rPr>
            </w:pPr>
            <w:r w:rsidRPr="00AE33CD">
              <w:rPr>
                <w:rFonts w:asciiTheme="minorHAnsi" w:eastAsiaTheme="minorHAnsi" w:hAnsiTheme="minorHAnsi" w:cstheme="minorBidi"/>
                <w:i/>
              </w:rPr>
              <w:t>Prostate Cancer Fight Foundation/TELUS Ride for Dad</w:t>
            </w:r>
          </w:p>
          <w:p w:rsidR="00196932" w:rsidRPr="00AE33CD" w:rsidRDefault="00196932" w:rsidP="00B82CF1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E33CD">
              <w:rPr>
                <w:rFonts w:asciiTheme="minorHAnsi" w:eastAsiaTheme="minorHAnsi" w:hAnsiTheme="minorHAnsi" w:cstheme="minorBidi"/>
                <w:i/>
              </w:rPr>
              <w:t>(Kingston-Quinte Chapter of the Ride for Dad and Big Rideau Watercraft Ride for Dad)</w:t>
            </w:r>
          </w:p>
          <w:p w:rsidR="00196932" w:rsidRPr="00AE33CD" w:rsidRDefault="00196932" w:rsidP="00B82CF1">
            <w:pPr>
              <w:jc w:val="center"/>
              <w:rPr>
                <w:rFonts w:asciiTheme="minorHAnsi" w:eastAsiaTheme="minorHAnsi" w:hAnsiTheme="minorHAnsi" w:cstheme="minorBidi"/>
                <w:b w:val="0"/>
              </w:rPr>
            </w:pPr>
            <w:r w:rsidRPr="00AE33CD">
              <w:rPr>
                <w:rFonts w:asciiTheme="minorHAnsi" w:eastAsiaTheme="minorHAnsi" w:hAnsiTheme="minorHAnsi" w:cstheme="minorBidi"/>
                <w:b w:val="0"/>
              </w:rPr>
              <w:t>(University Hospitals Kingston Foundation)</w:t>
            </w:r>
          </w:p>
        </w:tc>
      </w:tr>
      <w:tr w:rsidR="00196932" w:rsidRPr="00AE33CD" w:rsidTr="00B82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196932" w:rsidRPr="00AE33CD" w:rsidRDefault="00196932" w:rsidP="00B82CF1">
            <w:pPr>
              <w:rPr>
                <w:rFonts w:asciiTheme="minorHAnsi" w:eastAsiaTheme="minorHAnsi" w:hAnsiTheme="minorHAnsi" w:cstheme="minorBidi"/>
              </w:rPr>
            </w:pPr>
            <w:r w:rsidRPr="00AE33CD">
              <w:rPr>
                <w:rFonts w:asciiTheme="minorHAnsi" w:eastAsiaTheme="minorHAnsi" w:hAnsiTheme="minorHAnsi" w:cstheme="minorBidi"/>
              </w:rPr>
              <w:t>PI(s)</w:t>
            </w:r>
          </w:p>
        </w:tc>
        <w:tc>
          <w:tcPr>
            <w:tcW w:w="6120" w:type="dxa"/>
          </w:tcPr>
          <w:p w:rsidR="00196932" w:rsidRPr="00AE33CD" w:rsidRDefault="00196932" w:rsidP="00B82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E33CD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1170" w:type="dxa"/>
          </w:tcPr>
          <w:p w:rsidR="00196932" w:rsidRPr="00AE33CD" w:rsidRDefault="00196932" w:rsidP="00B82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E33CD">
              <w:rPr>
                <w:rFonts w:asciiTheme="minorHAnsi" w:hAnsiTheme="minorHAnsi"/>
                <w:b/>
              </w:rPr>
              <w:t>Amount</w:t>
            </w:r>
          </w:p>
        </w:tc>
      </w:tr>
      <w:tr w:rsidR="00C15C53" w:rsidRPr="00AE33CD" w:rsidTr="00643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:rsidR="00C15C53" w:rsidRPr="00C15C53" w:rsidRDefault="00C15C53" w:rsidP="00C15C53">
            <w:pPr>
              <w:rPr>
                <w:rFonts w:asciiTheme="minorHAnsi" w:hAnsiTheme="minorHAnsi"/>
                <w:b w:val="0"/>
              </w:rPr>
            </w:pPr>
            <w:r w:rsidRPr="00C15C53">
              <w:rPr>
                <w:rFonts w:asciiTheme="minorHAnsi" w:hAnsiTheme="minorHAnsi"/>
                <w:b w:val="0"/>
                <w:sz w:val="24"/>
              </w:rPr>
              <w:t>Decisions on the disbursements of research funds are postponed until the</w:t>
            </w:r>
            <w:r>
              <w:rPr>
                <w:rFonts w:asciiTheme="minorHAnsi" w:hAnsiTheme="minorHAnsi"/>
                <w:b w:val="0"/>
                <w:sz w:val="24"/>
              </w:rPr>
              <w:t xml:space="preserve"> funding agency has </w:t>
            </w:r>
            <w:r w:rsidRPr="00C15C53">
              <w:rPr>
                <w:rFonts w:asciiTheme="minorHAnsi" w:hAnsiTheme="minorHAnsi"/>
                <w:b w:val="0"/>
                <w:sz w:val="24"/>
              </w:rPr>
              <w:t>a clear picture of the COVID 19 aftermath</w:t>
            </w:r>
            <w:bookmarkStart w:id="0" w:name="_GoBack"/>
            <w:bookmarkEnd w:id="0"/>
          </w:p>
        </w:tc>
      </w:tr>
    </w:tbl>
    <w:p w:rsidR="00196932" w:rsidRPr="00AE33CD" w:rsidRDefault="00196932" w:rsidP="00196932">
      <w:pPr>
        <w:rPr>
          <w:rFonts w:asciiTheme="minorHAnsi" w:hAnsiTheme="minorHAnsi"/>
        </w:rPr>
      </w:pPr>
    </w:p>
    <w:p w:rsidR="001A1991" w:rsidRDefault="001A1991" w:rsidP="001A1991">
      <w:pPr>
        <w:rPr>
          <w:rFonts w:asciiTheme="minorHAnsi" w:hAnsiTheme="minorHAnsi"/>
        </w:rPr>
      </w:pPr>
    </w:p>
    <w:sectPr w:rsidR="001A1991" w:rsidSect="00C15C53">
      <w:footerReference w:type="default" r:id="rId6"/>
      <w:pgSz w:w="12240" w:h="15840" w:code="1"/>
      <w:pgMar w:top="1080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D5" w:rsidRDefault="00585BD5" w:rsidP="00A53474">
      <w:r>
        <w:separator/>
      </w:r>
    </w:p>
  </w:endnote>
  <w:endnote w:type="continuationSeparator" w:id="0">
    <w:p w:rsidR="00585BD5" w:rsidRDefault="00585BD5" w:rsidP="00A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74" w:rsidRPr="00A53474" w:rsidRDefault="00A53474">
    <w:pPr>
      <w:pStyle w:val="Footer"/>
      <w:rPr>
        <w:rFonts w:asciiTheme="minorHAnsi" w:hAnsiTheme="minorHAnsi"/>
      </w:rPr>
    </w:pPr>
    <w:r w:rsidRPr="00A53474">
      <w:rPr>
        <w:rFonts w:asciiTheme="minorHAnsi" w:hAnsiTheme="minorHAnsi"/>
      </w:rPr>
      <w:t xml:space="preserve">Successful Applicants of the </w:t>
    </w:r>
    <w:r w:rsidR="00C15C53">
      <w:rPr>
        <w:rFonts w:asciiTheme="minorHAnsi" w:hAnsiTheme="minorHAnsi"/>
      </w:rPr>
      <w:t>2020</w:t>
    </w:r>
    <w:r w:rsidR="00B776ED">
      <w:rPr>
        <w:rFonts w:asciiTheme="minorHAnsi" w:hAnsiTheme="minorHAnsi"/>
      </w:rPr>
      <w:t xml:space="preserve"> Health Sciences </w:t>
    </w:r>
    <w:r w:rsidRPr="00A53474">
      <w:rPr>
        <w:rFonts w:asciiTheme="minorHAnsi" w:hAnsiTheme="minorHAnsi"/>
      </w:rPr>
      <w:t xml:space="preserve">Internal </w:t>
    </w:r>
    <w:r w:rsidR="00B776ED">
      <w:rPr>
        <w:rFonts w:asciiTheme="minorHAnsi" w:hAnsiTheme="minorHAnsi"/>
      </w:rPr>
      <w:t xml:space="preserve">Grant </w:t>
    </w:r>
    <w:r w:rsidRPr="00A53474">
      <w:rPr>
        <w:rFonts w:asciiTheme="minorHAnsi" w:hAnsiTheme="minorHAnsi"/>
      </w:rPr>
      <w:t>Competition</w:t>
    </w:r>
    <w:r w:rsidRPr="00A53474">
      <w:rPr>
        <w:rFonts w:asciiTheme="minorHAnsi" w:hAnsiTheme="minorHAnsi"/>
      </w:rPr>
      <w:tab/>
      <w:t xml:space="preserve">Page </w:t>
    </w:r>
    <w:r w:rsidRPr="00A53474">
      <w:rPr>
        <w:rFonts w:asciiTheme="minorHAnsi" w:hAnsiTheme="minorHAnsi"/>
      </w:rPr>
      <w:fldChar w:fldCharType="begin"/>
    </w:r>
    <w:r w:rsidRPr="00A53474">
      <w:rPr>
        <w:rFonts w:asciiTheme="minorHAnsi" w:hAnsiTheme="minorHAnsi"/>
      </w:rPr>
      <w:instrText xml:space="preserve"> PAGE  \* Arabic  \* MERGEFORMAT </w:instrText>
    </w:r>
    <w:r w:rsidRPr="00A53474">
      <w:rPr>
        <w:rFonts w:asciiTheme="minorHAnsi" w:hAnsiTheme="minorHAnsi"/>
      </w:rPr>
      <w:fldChar w:fldCharType="separate"/>
    </w:r>
    <w:r w:rsidR="00C15C53">
      <w:rPr>
        <w:rFonts w:asciiTheme="minorHAnsi" w:hAnsiTheme="minorHAnsi"/>
        <w:noProof/>
      </w:rPr>
      <w:t>1</w:t>
    </w:r>
    <w:r w:rsidRPr="00A53474">
      <w:rPr>
        <w:rFonts w:asciiTheme="minorHAnsi" w:hAnsiTheme="minorHAnsi"/>
      </w:rPr>
      <w:fldChar w:fldCharType="end"/>
    </w:r>
    <w:r w:rsidRPr="00A53474">
      <w:rPr>
        <w:rFonts w:asciiTheme="minorHAnsi" w:hAnsiTheme="minorHAnsi"/>
      </w:rPr>
      <w:t xml:space="preserve"> of </w:t>
    </w:r>
    <w:r w:rsidRPr="00A53474">
      <w:rPr>
        <w:rFonts w:asciiTheme="minorHAnsi" w:hAnsiTheme="minorHAnsi"/>
      </w:rPr>
      <w:fldChar w:fldCharType="begin"/>
    </w:r>
    <w:r w:rsidRPr="00A53474">
      <w:rPr>
        <w:rFonts w:asciiTheme="minorHAnsi" w:hAnsiTheme="minorHAnsi"/>
      </w:rPr>
      <w:instrText xml:space="preserve"> NUMPAGES  \* Arabic  \* MERGEFORMAT </w:instrText>
    </w:r>
    <w:r w:rsidRPr="00A53474">
      <w:rPr>
        <w:rFonts w:asciiTheme="minorHAnsi" w:hAnsiTheme="minorHAnsi"/>
      </w:rPr>
      <w:fldChar w:fldCharType="separate"/>
    </w:r>
    <w:r w:rsidR="00C15C53">
      <w:rPr>
        <w:rFonts w:asciiTheme="minorHAnsi" w:hAnsiTheme="minorHAnsi"/>
        <w:noProof/>
      </w:rPr>
      <w:t>2</w:t>
    </w:r>
    <w:r w:rsidRPr="00A5347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D5" w:rsidRDefault="00585BD5" w:rsidP="00A53474">
      <w:r>
        <w:separator/>
      </w:r>
    </w:p>
  </w:footnote>
  <w:footnote w:type="continuationSeparator" w:id="0">
    <w:p w:rsidR="00585BD5" w:rsidRDefault="00585BD5" w:rsidP="00A5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F"/>
    <w:rsid w:val="000711F9"/>
    <w:rsid w:val="0007224B"/>
    <w:rsid w:val="000A5EB3"/>
    <w:rsid w:val="000C42CE"/>
    <w:rsid w:val="000D0711"/>
    <w:rsid w:val="000F5B86"/>
    <w:rsid w:val="001532F5"/>
    <w:rsid w:val="00182CB1"/>
    <w:rsid w:val="00196932"/>
    <w:rsid w:val="001A1991"/>
    <w:rsid w:val="001F00FC"/>
    <w:rsid w:val="00251951"/>
    <w:rsid w:val="00254AEC"/>
    <w:rsid w:val="00255DF6"/>
    <w:rsid w:val="002C0FA9"/>
    <w:rsid w:val="002E1977"/>
    <w:rsid w:val="00316FAC"/>
    <w:rsid w:val="003951A3"/>
    <w:rsid w:val="003F54B8"/>
    <w:rsid w:val="00461907"/>
    <w:rsid w:val="004E670C"/>
    <w:rsid w:val="00506224"/>
    <w:rsid w:val="0052435C"/>
    <w:rsid w:val="00542F59"/>
    <w:rsid w:val="005431BD"/>
    <w:rsid w:val="00555EFD"/>
    <w:rsid w:val="00585BD5"/>
    <w:rsid w:val="00593C77"/>
    <w:rsid w:val="005F100E"/>
    <w:rsid w:val="00636470"/>
    <w:rsid w:val="00672FA4"/>
    <w:rsid w:val="00674294"/>
    <w:rsid w:val="006971AC"/>
    <w:rsid w:val="006A7636"/>
    <w:rsid w:val="0070455A"/>
    <w:rsid w:val="007B295E"/>
    <w:rsid w:val="00821F36"/>
    <w:rsid w:val="00845F7B"/>
    <w:rsid w:val="008551B9"/>
    <w:rsid w:val="0088217A"/>
    <w:rsid w:val="0088380F"/>
    <w:rsid w:val="008845EC"/>
    <w:rsid w:val="008E0EF3"/>
    <w:rsid w:val="00980CE5"/>
    <w:rsid w:val="009B0FF3"/>
    <w:rsid w:val="00A53474"/>
    <w:rsid w:val="00A67C6F"/>
    <w:rsid w:val="00A92AAF"/>
    <w:rsid w:val="00AA2D83"/>
    <w:rsid w:val="00AE0E0E"/>
    <w:rsid w:val="00AE33CD"/>
    <w:rsid w:val="00B2293D"/>
    <w:rsid w:val="00B637A7"/>
    <w:rsid w:val="00B776ED"/>
    <w:rsid w:val="00B841DF"/>
    <w:rsid w:val="00B94258"/>
    <w:rsid w:val="00BA1070"/>
    <w:rsid w:val="00BC7EC5"/>
    <w:rsid w:val="00BD0AD5"/>
    <w:rsid w:val="00BD4D6E"/>
    <w:rsid w:val="00C0459F"/>
    <w:rsid w:val="00C15C53"/>
    <w:rsid w:val="00C44E62"/>
    <w:rsid w:val="00C66E01"/>
    <w:rsid w:val="00D453EF"/>
    <w:rsid w:val="00D730AB"/>
    <w:rsid w:val="00D9257A"/>
    <w:rsid w:val="00D9606E"/>
    <w:rsid w:val="00DB2A1C"/>
    <w:rsid w:val="00DD1AAE"/>
    <w:rsid w:val="00E022BD"/>
    <w:rsid w:val="00F52CF5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2FC5D-D8A0-4DEB-8D81-1970833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5DF6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szCs w:val="24"/>
    </w:rPr>
  </w:style>
  <w:style w:type="table" w:styleId="TableGrid">
    <w:name w:val="Table Grid"/>
    <w:basedOn w:val="TableNormal"/>
    <w:uiPriority w:val="59"/>
    <w:rsid w:val="0039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C7E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3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74"/>
  </w:style>
  <w:style w:type="paragraph" w:styleId="Footer">
    <w:name w:val="footer"/>
    <w:basedOn w:val="Normal"/>
    <w:link w:val="FooterChar"/>
    <w:uiPriority w:val="99"/>
    <w:unhideWhenUsed/>
    <w:rsid w:val="00A53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74"/>
  </w:style>
  <w:style w:type="paragraph" w:styleId="BalloonText">
    <w:name w:val="Balloon Text"/>
    <w:basedOn w:val="Normal"/>
    <w:link w:val="BalloonTextChar"/>
    <w:uiPriority w:val="99"/>
    <w:semiHidden/>
    <w:unhideWhenUsed/>
    <w:rsid w:val="007B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F Smith</dc:creator>
  <cp:lastModifiedBy>Gladys F Smith</cp:lastModifiedBy>
  <cp:revision>10</cp:revision>
  <cp:lastPrinted>2019-06-17T17:37:00Z</cp:lastPrinted>
  <dcterms:created xsi:type="dcterms:W3CDTF">2020-07-28T15:19:00Z</dcterms:created>
  <dcterms:modified xsi:type="dcterms:W3CDTF">2020-07-28T18:30:00Z</dcterms:modified>
</cp:coreProperties>
</file>