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7C0AC" w14:textId="3AC69577" w:rsidR="002E5462" w:rsidRPr="002E5462" w:rsidRDefault="001065A0">
      <w:pPr>
        <w:rPr>
          <w:i/>
          <w:iCs/>
          <w:sz w:val="22"/>
          <w:szCs w:val="22"/>
        </w:rPr>
      </w:pPr>
      <w:r>
        <w:t xml:space="preserve">2026-27 </w:t>
      </w:r>
      <w:r w:rsidR="00154F6F">
        <w:t>Departmental RTP Committee Recommendation Template</w:t>
      </w:r>
      <w:r w:rsidR="002E5462">
        <w:t>*</w:t>
      </w:r>
      <w:r w:rsidR="002E5462">
        <w:br/>
      </w:r>
      <w:r w:rsidR="00063D51" w:rsidRPr="00063D51">
        <w:rPr>
          <w:i/>
          <w:iCs/>
          <w:sz w:val="20"/>
          <w:szCs w:val="20"/>
        </w:rPr>
        <w:t>*</w:t>
      </w:r>
      <w:r w:rsidR="002E5462" w:rsidRPr="00063D51">
        <w:rPr>
          <w:i/>
          <w:iCs/>
          <w:sz w:val="20"/>
          <w:szCs w:val="20"/>
        </w:rPr>
        <w:t xml:space="preserve">The intention of this template is to outline the types of information that should be included in a recommendation letter for RTP. Units may modify the structure of these sections to fit unit-level norms, </w:t>
      </w:r>
      <w:proofErr w:type="gramStart"/>
      <w:r w:rsidR="002E5462" w:rsidRPr="00063D51">
        <w:rPr>
          <w:i/>
          <w:iCs/>
          <w:sz w:val="20"/>
          <w:szCs w:val="20"/>
        </w:rPr>
        <w:t>as long as</w:t>
      </w:r>
      <w:proofErr w:type="gramEnd"/>
      <w:r w:rsidR="002E5462" w:rsidRPr="00063D51">
        <w:rPr>
          <w:i/>
          <w:iCs/>
          <w:sz w:val="20"/>
          <w:szCs w:val="20"/>
        </w:rPr>
        <w:t xml:space="preserve"> the relevant information is addressed </w:t>
      </w:r>
    </w:p>
    <w:p w14:paraId="73B04AF1" w14:textId="77777777" w:rsidR="002E5462" w:rsidRDefault="002E5462"/>
    <w:p w14:paraId="1A6C1363" w14:textId="19EB97B8" w:rsidR="00154F6F" w:rsidRDefault="00EB41B5">
      <w:r>
        <w:t>To</w:t>
      </w:r>
      <w:proofErr w:type="gramStart"/>
      <w:r w:rsidR="002E5462">
        <w:t xml:space="preserve">: </w:t>
      </w:r>
      <w:r>
        <w:t xml:space="preserve"> Unit</w:t>
      </w:r>
      <w:proofErr w:type="gramEnd"/>
      <w:r>
        <w:t xml:space="preserve"> Head </w:t>
      </w:r>
    </w:p>
    <w:p w14:paraId="3ACD9424" w14:textId="3CC094C2" w:rsidR="00EB41B5" w:rsidRDefault="00EB41B5"/>
    <w:p w14:paraId="435E8DCE" w14:textId="3D54FB5B" w:rsidR="00154F6F" w:rsidRDefault="00154F6F">
      <w:pPr>
        <w:rPr>
          <w:i/>
          <w:iCs/>
        </w:rPr>
      </w:pPr>
      <w:r>
        <w:rPr>
          <w:i/>
          <w:iCs/>
        </w:rPr>
        <w:t xml:space="preserve">Provide a brief description of the </w:t>
      </w:r>
      <w:r w:rsidRPr="00EB41B5">
        <w:rPr>
          <w:b/>
          <w:bCs/>
          <w:i/>
          <w:iCs/>
        </w:rPr>
        <w:t>committee structure and process followed</w:t>
      </w:r>
      <w:r w:rsidR="002F0D93" w:rsidRPr="00EB41B5">
        <w:rPr>
          <w:b/>
          <w:bCs/>
          <w:i/>
          <w:iCs/>
        </w:rPr>
        <w:t>/</w:t>
      </w:r>
      <w:r w:rsidR="002F0D93">
        <w:rPr>
          <w:i/>
          <w:iCs/>
        </w:rPr>
        <w:t>documents included:</w:t>
      </w:r>
      <w:r>
        <w:rPr>
          <w:i/>
          <w:iCs/>
        </w:rPr>
        <w:t xml:space="preserve"> </w:t>
      </w:r>
    </w:p>
    <w:p w14:paraId="44663705" w14:textId="77777777" w:rsidR="00154F6F" w:rsidRDefault="00154F6F">
      <w:pPr>
        <w:rPr>
          <w:i/>
          <w:iCs/>
        </w:rPr>
      </w:pPr>
    </w:p>
    <w:p w14:paraId="29D9497C" w14:textId="77777777" w:rsidR="00154F6F" w:rsidRDefault="00154F6F">
      <w:pPr>
        <w:rPr>
          <w:i/>
          <w:iCs/>
        </w:rPr>
      </w:pPr>
    </w:p>
    <w:p w14:paraId="5DA97A6B" w14:textId="0DE2D7D0" w:rsidR="00154F6F" w:rsidRDefault="53C04C93" w:rsidP="5F0125BD">
      <w:pPr>
        <w:rPr>
          <w:i/>
          <w:iCs/>
        </w:rPr>
      </w:pPr>
      <w:r w:rsidRPr="5F0125BD">
        <w:rPr>
          <w:i/>
          <w:iCs/>
        </w:rPr>
        <w:t xml:space="preserve">Provide </w:t>
      </w:r>
      <w:proofErr w:type="gramStart"/>
      <w:r w:rsidRPr="5F0125BD">
        <w:rPr>
          <w:i/>
          <w:iCs/>
        </w:rPr>
        <w:t xml:space="preserve">a brief </w:t>
      </w:r>
      <w:r w:rsidRPr="5F0125BD">
        <w:rPr>
          <w:b/>
          <w:bCs/>
          <w:i/>
          <w:iCs/>
        </w:rPr>
        <w:t>summary</w:t>
      </w:r>
      <w:proofErr w:type="gramEnd"/>
      <w:r w:rsidRPr="5F0125BD">
        <w:rPr>
          <w:b/>
          <w:bCs/>
          <w:i/>
          <w:iCs/>
        </w:rPr>
        <w:t xml:space="preserve"> of the candidate’s academic profile</w:t>
      </w:r>
      <w:r w:rsidR="5895687A" w:rsidRPr="5F0125BD">
        <w:t xml:space="preserve"> including the appointment type (e.g. percent committed for teaching, research and service)</w:t>
      </w:r>
      <w:r w:rsidR="00DF1EF2">
        <w:t xml:space="preserve"> and area of specialization</w:t>
      </w:r>
      <w:r w:rsidR="186C09FB" w:rsidRPr="5F0125BD">
        <w:rPr>
          <w:b/>
          <w:bCs/>
          <w:i/>
          <w:iCs/>
        </w:rPr>
        <w:t>:</w:t>
      </w:r>
    </w:p>
    <w:p w14:paraId="3028E608" w14:textId="77777777" w:rsidR="00154F6F" w:rsidRDefault="00154F6F">
      <w:pPr>
        <w:rPr>
          <w:i/>
          <w:iCs/>
        </w:rPr>
      </w:pPr>
    </w:p>
    <w:p w14:paraId="1E897EFF" w14:textId="77777777" w:rsidR="00154F6F" w:rsidRDefault="00154F6F">
      <w:pPr>
        <w:rPr>
          <w:i/>
          <w:iCs/>
        </w:rPr>
      </w:pPr>
    </w:p>
    <w:p w14:paraId="0A5FCD89" w14:textId="639F5C02" w:rsidR="00154F6F" w:rsidRDefault="186C09FB" w:rsidP="0A40DFB9">
      <w:pPr>
        <w:rPr>
          <w:i/>
          <w:iCs/>
        </w:rPr>
      </w:pPr>
      <w:r w:rsidRPr="0A40DFB9">
        <w:rPr>
          <w:b/>
          <w:bCs/>
          <w:i/>
          <w:iCs/>
        </w:rPr>
        <w:t>Summarize</w:t>
      </w:r>
      <w:r w:rsidR="7A92258F" w:rsidRPr="0A40DFB9">
        <w:rPr>
          <w:b/>
          <w:bCs/>
          <w:i/>
          <w:iCs/>
        </w:rPr>
        <w:t xml:space="preserve"> </w:t>
      </w:r>
      <w:r w:rsidRPr="0A40DFB9">
        <w:rPr>
          <w:b/>
          <w:bCs/>
          <w:i/>
          <w:iCs/>
        </w:rPr>
        <w:t>the candidate’s key accomplishments</w:t>
      </w:r>
      <w:r w:rsidRPr="0A40DFB9">
        <w:rPr>
          <w:i/>
          <w:iCs/>
        </w:rPr>
        <w:t xml:space="preserve"> and how they meet (or do not meet) the </w:t>
      </w:r>
      <w:r w:rsidR="00DF1EF2">
        <w:rPr>
          <w:i/>
          <w:iCs/>
        </w:rPr>
        <w:t>c</w:t>
      </w:r>
      <w:r w:rsidRPr="0A40DFB9">
        <w:rPr>
          <w:i/>
          <w:iCs/>
        </w:rPr>
        <w:t>riteria</w:t>
      </w:r>
      <w:r w:rsidR="00590724">
        <w:rPr>
          <w:i/>
          <w:iCs/>
        </w:rPr>
        <w:t>*</w:t>
      </w:r>
      <w:r w:rsidRPr="0A40DFB9">
        <w:rPr>
          <w:i/>
          <w:iCs/>
        </w:rPr>
        <w:t xml:space="preserve"> outlined in Article 30.6 in the Collective Agreement. </w:t>
      </w:r>
      <w:r w:rsidR="6C47B479" w:rsidRPr="0A40DFB9">
        <w:rPr>
          <w:i/>
          <w:iCs/>
        </w:rPr>
        <w:t>For p</w:t>
      </w:r>
      <w:r w:rsidRPr="0A40DFB9">
        <w:rPr>
          <w:i/>
          <w:iCs/>
        </w:rPr>
        <w:t>romotion to Professor, ensure any positive recommendation clearly articulate</w:t>
      </w:r>
      <w:r w:rsidR="00FF02E7">
        <w:rPr>
          <w:i/>
          <w:iCs/>
        </w:rPr>
        <w:t>s</w:t>
      </w:r>
      <w:r w:rsidRPr="0A40DFB9">
        <w:rPr>
          <w:i/>
          <w:iCs/>
        </w:rPr>
        <w:t xml:space="preserve"> if they meet </w:t>
      </w:r>
      <w:r w:rsidR="6C47B479" w:rsidRPr="0A40DFB9">
        <w:rPr>
          <w:i/>
          <w:iCs/>
        </w:rPr>
        <w:t xml:space="preserve">the </w:t>
      </w:r>
      <w:r w:rsidRPr="0A40DFB9">
        <w:rPr>
          <w:i/>
          <w:iCs/>
        </w:rPr>
        <w:t xml:space="preserve">criteria </w:t>
      </w:r>
      <w:r w:rsidR="6C47B479" w:rsidRPr="0A40DFB9">
        <w:rPr>
          <w:i/>
          <w:iCs/>
        </w:rPr>
        <w:t xml:space="preserve">outlined in </w:t>
      </w:r>
      <w:r w:rsidRPr="0A40DFB9">
        <w:rPr>
          <w:i/>
          <w:iCs/>
        </w:rPr>
        <w:t>30.6.8(c)(</w:t>
      </w:r>
      <w:proofErr w:type="spellStart"/>
      <w:r w:rsidRPr="0A40DFB9">
        <w:rPr>
          <w:i/>
          <w:iCs/>
        </w:rPr>
        <w:t>i</w:t>
      </w:r>
      <w:proofErr w:type="spellEnd"/>
      <w:r w:rsidRPr="0A40DFB9">
        <w:rPr>
          <w:i/>
          <w:iCs/>
        </w:rPr>
        <w:t xml:space="preserve">), (ii), or (iii). </w:t>
      </w:r>
    </w:p>
    <w:p w14:paraId="6B8FC3F7" w14:textId="77777777" w:rsidR="002F0D93" w:rsidRDefault="002F0D93">
      <w:pPr>
        <w:rPr>
          <w:i/>
          <w:iCs/>
        </w:rPr>
      </w:pPr>
    </w:p>
    <w:p w14:paraId="60BEC22E" w14:textId="5FA4F497" w:rsidR="00154F6F" w:rsidRPr="002F0D93" w:rsidRDefault="00154F6F">
      <w:pPr>
        <w:rPr>
          <w:i/>
          <w:iCs/>
          <w:sz w:val="22"/>
          <w:szCs w:val="22"/>
        </w:rPr>
      </w:pPr>
      <w:r w:rsidRPr="00EB41B5">
        <w:rPr>
          <w:b/>
          <w:bCs/>
          <w:i/>
          <w:iCs/>
        </w:rPr>
        <w:t>Teaching</w:t>
      </w:r>
      <w:r w:rsidR="002F0D93">
        <w:rPr>
          <w:i/>
          <w:iCs/>
        </w:rPr>
        <w:t xml:space="preserve"> </w:t>
      </w:r>
      <w:r w:rsidR="002F0D93" w:rsidRPr="00EB41B5">
        <w:rPr>
          <w:i/>
          <w:iCs/>
          <w:sz w:val="22"/>
          <w:szCs w:val="22"/>
        </w:rPr>
        <w:t>[include any discipline/unit level expectations around graduate supervision</w:t>
      </w:r>
      <w:r w:rsidR="00EB41B5" w:rsidRPr="00EB41B5">
        <w:rPr>
          <w:i/>
          <w:iCs/>
          <w:sz w:val="22"/>
          <w:szCs w:val="22"/>
        </w:rPr>
        <w:t>, class/course delivery, etc.</w:t>
      </w:r>
      <w:r w:rsidR="00AA3286" w:rsidRPr="00AA3286">
        <w:rPr>
          <w:i/>
          <w:iCs/>
          <w:sz w:val="22"/>
          <w:szCs w:val="22"/>
        </w:rPr>
        <w:t xml:space="preserve"> </w:t>
      </w:r>
      <w:r w:rsidR="00AA3286" w:rsidRPr="0024048C">
        <w:rPr>
          <w:i/>
          <w:iCs/>
          <w:sz w:val="22"/>
          <w:szCs w:val="22"/>
        </w:rPr>
        <w:t xml:space="preserve">Select quotations from </w:t>
      </w:r>
      <w:r w:rsidR="00AA3286">
        <w:rPr>
          <w:i/>
          <w:iCs/>
          <w:sz w:val="22"/>
          <w:szCs w:val="22"/>
        </w:rPr>
        <w:t>anonymized student feedback</w:t>
      </w:r>
      <w:r w:rsidR="00AA3286" w:rsidRPr="0024048C">
        <w:rPr>
          <w:i/>
          <w:iCs/>
          <w:sz w:val="22"/>
          <w:szCs w:val="22"/>
        </w:rPr>
        <w:t xml:space="preserve"> may also be used to exemplify candidate </w:t>
      </w:r>
      <w:r w:rsidR="00AA3286">
        <w:rPr>
          <w:i/>
          <w:iCs/>
          <w:sz w:val="22"/>
          <w:szCs w:val="22"/>
        </w:rPr>
        <w:t xml:space="preserve">teaching </w:t>
      </w:r>
      <w:r w:rsidR="00AA3286" w:rsidRPr="0024048C">
        <w:rPr>
          <w:i/>
          <w:iCs/>
          <w:sz w:val="22"/>
          <w:szCs w:val="22"/>
        </w:rPr>
        <w:t>contributions</w:t>
      </w:r>
      <w:r w:rsidR="00EB41B5" w:rsidRPr="00EB41B5">
        <w:rPr>
          <w:i/>
          <w:iCs/>
          <w:sz w:val="22"/>
          <w:szCs w:val="22"/>
        </w:rPr>
        <w:t>]</w:t>
      </w:r>
    </w:p>
    <w:p w14:paraId="0E84B049" w14:textId="77777777" w:rsidR="00154F6F" w:rsidRDefault="00154F6F">
      <w:pPr>
        <w:rPr>
          <w:i/>
          <w:iCs/>
        </w:rPr>
      </w:pPr>
    </w:p>
    <w:p w14:paraId="1F8CC128" w14:textId="77777777" w:rsidR="00154F6F" w:rsidRDefault="00154F6F">
      <w:pPr>
        <w:rPr>
          <w:i/>
          <w:iCs/>
        </w:rPr>
      </w:pPr>
    </w:p>
    <w:p w14:paraId="6AF01B99" w14:textId="525EE230" w:rsidR="00154F6F" w:rsidRPr="002F0D93" w:rsidRDefault="00154F6F">
      <w:pPr>
        <w:rPr>
          <w:i/>
          <w:iCs/>
          <w:sz w:val="22"/>
          <w:szCs w:val="22"/>
        </w:rPr>
      </w:pPr>
      <w:r w:rsidRPr="00EB41B5">
        <w:rPr>
          <w:b/>
          <w:bCs/>
          <w:i/>
          <w:iCs/>
        </w:rPr>
        <w:t>Research</w:t>
      </w:r>
      <w:r w:rsidR="002F0D93">
        <w:rPr>
          <w:i/>
          <w:iCs/>
        </w:rPr>
        <w:t xml:space="preserve"> </w:t>
      </w:r>
      <w:r w:rsidR="002F0D93" w:rsidRPr="002F0D93">
        <w:rPr>
          <w:i/>
          <w:iCs/>
          <w:sz w:val="22"/>
          <w:szCs w:val="22"/>
        </w:rPr>
        <w:t xml:space="preserve">[in all cases, </w:t>
      </w:r>
      <w:proofErr w:type="gramStart"/>
      <w:r w:rsidR="002F0D93" w:rsidRPr="002F0D93">
        <w:rPr>
          <w:i/>
          <w:iCs/>
          <w:sz w:val="22"/>
          <w:szCs w:val="22"/>
        </w:rPr>
        <w:t>ensure</w:t>
      </w:r>
      <w:proofErr w:type="gramEnd"/>
      <w:r w:rsidR="002F0D93" w:rsidRPr="002F0D93">
        <w:rPr>
          <w:i/>
          <w:iCs/>
          <w:sz w:val="22"/>
          <w:szCs w:val="22"/>
        </w:rPr>
        <w:t xml:space="preserve"> that the diverse backgrounds of Members and the type of scholarship appropriate to their research areas, as well as the diverse range of scholarly methodologies and ways of measuring impact, </w:t>
      </w:r>
      <w:r w:rsidR="00EB41B5">
        <w:rPr>
          <w:i/>
          <w:iCs/>
          <w:sz w:val="22"/>
          <w:szCs w:val="22"/>
        </w:rPr>
        <w:t>is</w:t>
      </w:r>
      <w:r w:rsidR="002F0D93" w:rsidRPr="002F0D93">
        <w:rPr>
          <w:i/>
          <w:iCs/>
          <w:sz w:val="22"/>
          <w:szCs w:val="22"/>
        </w:rPr>
        <w:t xml:space="preserve"> </w:t>
      </w:r>
      <w:proofErr w:type="gramStart"/>
      <w:r w:rsidR="002F0D93" w:rsidRPr="002F0D93">
        <w:rPr>
          <w:i/>
          <w:iCs/>
          <w:sz w:val="22"/>
          <w:szCs w:val="22"/>
        </w:rPr>
        <w:t>taken into account</w:t>
      </w:r>
      <w:proofErr w:type="gramEnd"/>
      <w:r w:rsidR="002F0D93" w:rsidRPr="002F0D93">
        <w:rPr>
          <w:i/>
          <w:iCs/>
          <w:sz w:val="22"/>
          <w:szCs w:val="22"/>
        </w:rPr>
        <w:t xml:space="preserve"> when assessing the quality of scholarly or creative work. </w:t>
      </w:r>
      <w:r w:rsidR="00EB41B5" w:rsidRPr="00EB41B5">
        <w:rPr>
          <w:i/>
          <w:iCs/>
          <w:sz w:val="22"/>
          <w:szCs w:val="22"/>
        </w:rPr>
        <w:t>Writing and research with respect to pedagogy and innovative teaching s</w:t>
      </w:r>
      <w:r w:rsidR="00EB41B5">
        <w:rPr>
          <w:i/>
          <w:iCs/>
          <w:sz w:val="22"/>
          <w:szCs w:val="22"/>
        </w:rPr>
        <w:t xml:space="preserve">hould be included in this section. </w:t>
      </w:r>
      <w:r w:rsidR="002F0D93" w:rsidRPr="00EB41B5">
        <w:rPr>
          <w:b/>
          <w:bCs/>
          <w:i/>
          <w:iCs/>
          <w:sz w:val="22"/>
          <w:szCs w:val="22"/>
        </w:rPr>
        <w:t>Ensure that any discipline</w:t>
      </w:r>
      <w:r w:rsidR="00EB41B5" w:rsidRPr="00EB41B5">
        <w:rPr>
          <w:b/>
          <w:bCs/>
          <w:i/>
          <w:iCs/>
          <w:sz w:val="22"/>
          <w:szCs w:val="22"/>
        </w:rPr>
        <w:t>-</w:t>
      </w:r>
      <w:r w:rsidR="002F0D93" w:rsidRPr="00EB41B5">
        <w:rPr>
          <w:b/>
          <w:bCs/>
          <w:i/>
          <w:iCs/>
          <w:sz w:val="22"/>
          <w:szCs w:val="22"/>
        </w:rPr>
        <w:t>specific scholarship, and the relevant impact of that scholarship to the field, is articulated.]</w:t>
      </w:r>
    </w:p>
    <w:p w14:paraId="0402CA5E" w14:textId="77777777" w:rsidR="00154F6F" w:rsidRDefault="00154F6F">
      <w:pPr>
        <w:rPr>
          <w:i/>
          <w:iCs/>
        </w:rPr>
      </w:pPr>
    </w:p>
    <w:p w14:paraId="56EC031C" w14:textId="77777777" w:rsidR="00154F6F" w:rsidRDefault="00154F6F">
      <w:pPr>
        <w:rPr>
          <w:i/>
          <w:iCs/>
        </w:rPr>
      </w:pPr>
    </w:p>
    <w:p w14:paraId="339FEF59" w14:textId="56977A7E" w:rsidR="00154F6F" w:rsidRPr="00EB41B5" w:rsidRDefault="00154F6F">
      <w:pPr>
        <w:rPr>
          <w:i/>
          <w:iCs/>
          <w:sz w:val="22"/>
          <w:szCs w:val="22"/>
        </w:rPr>
      </w:pPr>
      <w:r w:rsidRPr="00EB41B5">
        <w:rPr>
          <w:b/>
          <w:bCs/>
          <w:i/>
          <w:iCs/>
        </w:rPr>
        <w:t>Service</w:t>
      </w:r>
      <w:r>
        <w:rPr>
          <w:i/>
          <w:iCs/>
        </w:rPr>
        <w:t xml:space="preserve"> </w:t>
      </w:r>
      <w:r w:rsidR="00EB41B5" w:rsidRPr="00EB41B5">
        <w:rPr>
          <w:i/>
          <w:iCs/>
          <w:sz w:val="22"/>
          <w:szCs w:val="22"/>
        </w:rPr>
        <w:t xml:space="preserve">[include any unit level expectations around service contributions] </w:t>
      </w:r>
    </w:p>
    <w:p w14:paraId="44FF0E6B" w14:textId="77777777" w:rsidR="00154F6F" w:rsidRDefault="00154F6F">
      <w:pPr>
        <w:rPr>
          <w:i/>
          <w:iCs/>
        </w:rPr>
      </w:pPr>
    </w:p>
    <w:p w14:paraId="278B49A8" w14:textId="77777777" w:rsidR="00154F6F" w:rsidRDefault="00154F6F">
      <w:pPr>
        <w:rPr>
          <w:i/>
          <w:iCs/>
        </w:rPr>
      </w:pPr>
    </w:p>
    <w:p w14:paraId="721B9E99" w14:textId="4C123130" w:rsidR="00154F6F" w:rsidRDefault="00154F6F" w:rsidP="5F0125BD">
      <w:pPr>
        <w:rPr>
          <w:i/>
          <w:iCs/>
          <w:sz w:val="22"/>
          <w:szCs w:val="22"/>
        </w:rPr>
      </w:pPr>
      <w:r w:rsidRPr="5F0125BD">
        <w:rPr>
          <w:b/>
          <w:bCs/>
          <w:i/>
          <w:iCs/>
        </w:rPr>
        <w:t>Any additional considerations</w:t>
      </w:r>
      <w:r w:rsidR="00EB41B5" w:rsidRPr="5F0125BD">
        <w:rPr>
          <w:b/>
          <w:bCs/>
          <w:i/>
          <w:iCs/>
        </w:rPr>
        <w:t>/feedback</w:t>
      </w:r>
      <w:r w:rsidRPr="0024048C">
        <w:rPr>
          <w:i/>
          <w:iCs/>
          <w:sz w:val="22"/>
          <w:szCs w:val="22"/>
        </w:rPr>
        <w:t xml:space="preserve"> </w:t>
      </w:r>
      <w:r w:rsidR="00EB41B5" w:rsidRPr="0024048C">
        <w:rPr>
          <w:i/>
          <w:iCs/>
          <w:sz w:val="22"/>
          <w:szCs w:val="22"/>
        </w:rPr>
        <w:t>[i.e. highlight any additional contributions to education, scholarship and/or I-EDIAA contributions; highlight feedback for future development, etc.</w:t>
      </w:r>
      <w:r w:rsidR="2382EFF8" w:rsidRPr="0024048C">
        <w:rPr>
          <w:i/>
          <w:iCs/>
          <w:sz w:val="22"/>
          <w:szCs w:val="22"/>
        </w:rPr>
        <w:t xml:space="preserve"> </w:t>
      </w:r>
      <w:proofErr w:type="gramStart"/>
      <w:r w:rsidR="2382EFF8" w:rsidRPr="0024048C">
        <w:rPr>
          <w:i/>
          <w:iCs/>
          <w:sz w:val="22"/>
          <w:szCs w:val="22"/>
        </w:rPr>
        <w:t>Select</w:t>
      </w:r>
      <w:proofErr w:type="gramEnd"/>
      <w:r w:rsidR="2382EFF8" w:rsidRPr="0024048C">
        <w:rPr>
          <w:i/>
          <w:iCs/>
          <w:sz w:val="22"/>
          <w:szCs w:val="22"/>
        </w:rPr>
        <w:t xml:space="preserve"> quotations from</w:t>
      </w:r>
      <w:r w:rsidR="00AA3286">
        <w:rPr>
          <w:i/>
          <w:iCs/>
          <w:sz w:val="22"/>
          <w:szCs w:val="22"/>
        </w:rPr>
        <w:t xml:space="preserve"> referee and colleague letters </w:t>
      </w:r>
      <w:r w:rsidR="2382EFF8" w:rsidRPr="0024048C">
        <w:rPr>
          <w:i/>
          <w:iCs/>
          <w:sz w:val="22"/>
          <w:szCs w:val="22"/>
        </w:rPr>
        <w:t>may also be used to exemplify candidate contributions.</w:t>
      </w:r>
      <w:r w:rsidR="00AA3286">
        <w:rPr>
          <w:i/>
          <w:iCs/>
          <w:sz w:val="22"/>
          <w:szCs w:val="22"/>
        </w:rPr>
        <w:t>]</w:t>
      </w:r>
    </w:p>
    <w:p w14:paraId="26F50E83" w14:textId="77777777" w:rsidR="00AA3286" w:rsidRDefault="00AA3286" w:rsidP="5F0125BD">
      <w:pPr>
        <w:rPr>
          <w:i/>
          <w:iCs/>
        </w:rPr>
      </w:pPr>
    </w:p>
    <w:p w14:paraId="73B47584" w14:textId="500D1086" w:rsidR="00EB41B5" w:rsidRDefault="00AA3286">
      <w:pPr>
        <w:rPr>
          <w:i/>
          <w:iCs/>
        </w:rPr>
      </w:pPr>
      <w:r w:rsidRPr="00910232">
        <w:rPr>
          <w:b/>
          <w:bCs/>
          <w:i/>
          <w:iCs/>
        </w:rPr>
        <w:t xml:space="preserve">Final </w:t>
      </w:r>
      <w:r>
        <w:rPr>
          <w:b/>
          <w:bCs/>
          <w:i/>
          <w:iCs/>
        </w:rPr>
        <w:t>s</w:t>
      </w:r>
      <w:r w:rsidRPr="00910232">
        <w:rPr>
          <w:b/>
          <w:bCs/>
          <w:i/>
          <w:iCs/>
        </w:rPr>
        <w:t>tatement/recommendation</w:t>
      </w:r>
      <w:r w:rsidRPr="00910232">
        <w:rPr>
          <w:b/>
          <w:bCs/>
          <w:i/>
          <w:iCs/>
          <w:sz w:val="22"/>
          <w:szCs w:val="22"/>
        </w:rPr>
        <w:t xml:space="preserve"> </w:t>
      </w:r>
      <w:r>
        <w:rPr>
          <w:i/>
          <w:iCs/>
          <w:sz w:val="22"/>
          <w:szCs w:val="22"/>
        </w:rPr>
        <w:t>[please clearly</w:t>
      </w:r>
      <w:r w:rsidRPr="00910232">
        <w:rPr>
          <w:i/>
          <w:iCs/>
          <w:sz w:val="22"/>
          <w:szCs w:val="22"/>
        </w:rPr>
        <w:t xml:space="preserve"> </w:t>
      </w:r>
      <w:r>
        <w:rPr>
          <w:i/>
          <w:iCs/>
          <w:sz w:val="22"/>
          <w:szCs w:val="22"/>
        </w:rPr>
        <w:t>state support (or lack of) for the candidate</w:t>
      </w:r>
      <w:r w:rsidR="00980AC4">
        <w:rPr>
          <w:i/>
          <w:iCs/>
          <w:sz w:val="22"/>
          <w:szCs w:val="22"/>
        </w:rPr>
        <w:t>’</w:t>
      </w:r>
      <w:r>
        <w:rPr>
          <w:i/>
          <w:iCs/>
          <w:sz w:val="22"/>
          <w:szCs w:val="22"/>
        </w:rPr>
        <w:t xml:space="preserve">s application. Please note that any negative recommendations </w:t>
      </w:r>
      <w:r w:rsidRPr="00D2147C">
        <w:rPr>
          <w:b/>
          <w:bCs/>
          <w:i/>
          <w:iCs/>
          <w:sz w:val="22"/>
          <w:szCs w:val="22"/>
        </w:rPr>
        <w:t>must</w:t>
      </w:r>
      <w:r>
        <w:rPr>
          <w:i/>
          <w:iCs/>
          <w:sz w:val="22"/>
          <w:szCs w:val="22"/>
        </w:rPr>
        <w:t xml:space="preserve"> be preceded by an emerging negative letter to the candidate, prior to finalizing a recommendation – See </w:t>
      </w:r>
      <w:r w:rsidR="00980AC4">
        <w:rPr>
          <w:i/>
          <w:iCs/>
          <w:sz w:val="22"/>
          <w:szCs w:val="22"/>
        </w:rPr>
        <w:t>A</w:t>
      </w:r>
      <w:r>
        <w:rPr>
          <w:i/>
          <w:iCs/>
          <w:sz w:val="22"/>
          <w:szCs w:val="22"/>
        </w:rPr>
        <w:t>rticle 30.14.4</w:t>
      </w:r>
      <w:r w:rsidR="00980AC4">
        <w:rPr>
          <w:i/>
          <w:iCs/>
          <w:sz w:val="22"/>
          <w:szCs w:val="22"/>
        </w:rPr>
        <w:t xml:space="preserve"> of the Collective Agreement.</w:t>
      </w:r>
      <w:r>
        <w:rPr>
          <w:i/>
          <w:iCs/>
          <w:sz w:val="22"/>
          <w:szCs w:val="22"/>
        </w:rPr>
        <w:t>]</w:t>
      </w:r>
    </w:p>
    <w:p w14:paraId="3CA31CB3" w14:textId="33CDB7FF" w:rsidR="00EB41B5" w:rsidRDefault="00EB41B5">
      <w:r>
        <w:t xml:space="preserve">Sincerely, </w:t>
      </w:r>
    </w:p>
    <w:p w14:paraId="261BDF76" w14:textId="77777777" w:rsidR="00EB41B5" w:rsidRDefault="00EB41B5"/>
    <w:p w14:paraId="5A459AD8" w14:textId="62E53E81" w:rsidR="00EB41B5" w:rsidRDefault="00EB41B5">
      <w:r>
        <w:t xml:space="preserve">RTP Committee </w:t>
      </w:r>
    </w:p>
    <w:p w14:paraId="3373838F" w14:textId="77777777" w:rsidR="00590724" w:rsidRDefault="00590724"/>
    <w:p w14:paraId="774F5172" w14:textId="77777777" w:rsidR="00A336E7" w:rsidRDefault="00A336E7">
      <w:pPr>
        <w:sectPr w:rsidR="00A336E7">
          <w:headerReference w:type="default" r:id="rId10"/>
          <w:footerReference w:type="default" r:id="rId11"/>
          <w:pgSz w:w="12240" w:h="15840"/>
          <w:pgMar w:top="1440" w:right="1440" w:bottom="1440" w:left="1440" w:header="720" w:footer="720" w:gutter="0"/>
          <w:cols w:space="720"/>
          <w:docGrid w:linePitch="360"/>
        </w:sectPr>
      </w:pPr>
    </w:p>
    <w:p w14:paraId="222A533F" w14:textId="7307CB16" w:rsidR="00590724" w:rsidRPr="00A336E7" w:rsidRDefault="00590724">
      <w:r>
        <w:lastRenderedPageBreak/>
        <w:t>*</w:t>
      </w:r>
      <w:proofErr w:type="gramStart"/>
      <w:r w:rsidRPr="00D2147C">
        <w:rPr>
          <w:b/>
          <w:bCs/>
          <w:i/>
          <w:iCs/>
          <w:lang w:val="en-CA"/>
        </w:rPr>
        <w:t>the</w:t>
      </w:r>
      <w:proofErr w:type="gramEnd"/>
      <w:r w:rsidRPr="00D2147C">
        <w:rPr>
          <w:b/>
          <w:bCs/>
          <w:i/>
          <w:iCs/>
          <w:lang w:val="en-CA"/>
        </w:rPr>
        <w:t xml:space="preserve"> RTP criteria outlined in the 2022-2026 Collective Agreement will continue to apply for those Members who have applied during the 2026/2027 cycle</w:t>
      </w:r>
      <w:r w:rsidRPr="00590724">
        <w:rPr>
          <w:i/>
          <w:iCs/>
          <w:lang w:val="en-CA"/>
        </w:rPr>
        <w:t xml:space="preserve">.  The new RTP criteria will </w:t>
      </w:r>
      <w:r w:rsidR="00980AC4">
        <w:rPr>
          <w:i/>
          <w:iCs/>
          <w:lang w:val="en-CA"/>
        </w:rPr>
        <w:t xml:space="preserve">take effect beginning with </w:t>
      </w:r>
      <w:r w:rsidRPr="00590724">
        <w:rPr>
          <w:i/>
          <w:iCs/>
          <w:lang w:val="en-CA"/>
        </w:rPr>
        <w:t>the 2027/2028 cycle</w:t>
      </w:r>
      <w:r w:rsidR="00980AC4">
        <w:rPr>
          <w:i/>
          <w:iCs/>
          <w:lang w:val="en-CA"/>
        </w:rPr>
        <w:t>.</w:t>
      </w:r>
    </w:p>
    <w:p w14:paraId="1C03CFEF" w14:textId="77777777" w:rsidR="00A336E7" w:rsidRPr="00A336E7" w:rsidRDefault="00A336E7">
      <w:r w:rsidRPr="00A336E7">
        <w:t xml:space="preserve">Criteria as outlined in Article 30.6: </w:t>
      </w:r>
    </w:p>
    <w:p w14:paraId="39CD9A9D" w14:textId="2CB0743D" w:rsidR="00A336E7" w:rsidRDefault="00A336E7">
      <w:pPr>
        <w:rPr>
          <w:i/>
          <w:iCs/>
        </w:rPr>
      </w:pPr>
      <w:r w:rsidRPr="00A336E7">
        <w:rPr>
          <w:i/>
          <w:iCs/>
        </w:rPr>
        <w:t>30.6.6 Promotion is the recognition by academic peers and the University of increased status of the Member in their discipline. A faculty Member will be assessed for Promotion on their contributions to teaching, research and scholarship, and service to the Department, Unit, Faculty, University, and the broader academic community. In their assessment, the Committee shall consider the diverse range of scholarly methodologies and ways of measuring impact.</w:t>
      </w:r>
    </w:p>
    <w:p w14:paraId="6B9FD046" w14:textId="77777777" w:rsidR="00A336E7" w:rsidRDefault="00A336E7">
      <w:pPr>
        <w:rPr>
          <w:i/>
          <w:iCs/>
        </w:rPr>
      </w:pPr>
      <w:r w:rsidRPr="00A336E7">
        <w:rPr>
          <w:i/>
          <w:iCs/>
        </w:rPr>
        <w:t xml:space="preserve">30.6.9 Extraordinary contributions in </w:t>
      </w:r>
      <w:proofErr w:type="gramStart"/>
      <w:r w:rsidRPr="00A336E7">
        <w:rPr>
          <w:i/>
          <w:iCs/>
        </w:rPr>
        <w:t>either (a)</w:t>
      </w:r>
      <w:proofErr w:type="gramEnd"/>
      <w:r w:rsidRPr="00A336E7">
        <w:rPr>
          <w:i/>
          <w:iCs/>
        </w:rPr>
        <w:t xml:space="preserve"> teaching, or (b) research, scholarly and/or creative activity, shall compensate for a lesser involvement in the other area or service, </w:t>
      </w:r>
      <w:proofErr w:type="gramStart"/>
      <w:r w:rsidRPr="00A336E7">
        <w:rPr>
          <w:i/>
          <w:iCs/>
        </w:rPr>
        <w:t>provided that</w:t>
      </w:r>
      <w:proofErr w:type="gramEnd"/>
      <w:r w:rsidRPr="00A336E7">
        <w:rPr>
          <w:i/>
          <w:iCs/>
        </w:rPr>
        <w:t xml:space="preserve"> there has been a satisfactory level of contribution in all areas. </w:t>
      </w:r>
    </w:p>
    <w:p w14:paraId="6828A8D1" w14:textId="77777777" w:rsidR="00A336E7" w:rsidRDefault="00A336E7">
      <w:pPr>
        <w:rPr>
          <w:i/>
          <w:iCs/>
        </w:rPr>
      </w:pPr>
      <w:r w:rsidRPr="00A336E7">
        <w:rPr>
          <w:i/>
          <w:iCs/>
        </w:rPr>
        <w:t xml:space="preserve">30.6.10 In cases where the applicant’s required responsibilities in teaching (as noted in the letter of appointment) are minimal, primary emphasis shall be placed on scholarship/research. Teaching that is undertaken shall be assessed </w:t>
      </w:r>
      <w:proofErr w:type="gramStart"/>
      <w:r w:rsidRPr="00A336E7">
        <w:rPr>
          <w:i/>
          <w:iCs/>
        </w:rPr>
        <w:t>on the basis of</w:t>
      </w:r>
      <w:proofErr w:type="gramEnd"/>
      <w:r w:rsidRPr="00A336E7">
        <w:rPr>
          <w:i/>
          <w:iCs/>
        </w:rPr>
        <w:t xml:space="preserve"> whatever information as to quality is available. </w:t>
      </w:r>
    </w:p>
    <w:p w14:paraId="368B8092" w14:textId="4E993F92" w:rsidR="00A336E7" w:rsidRDefault="00A336E7">
      <w:pPr>
        <w:rPr>
          <w:i/>
          <w:iCs/>
        </w:rPr>
      </w:pPr>
      <w:r w:rsidRPr="00A336E7">
        <w:rPr>
          <w:i/>
          <w:iCs/>
        </w:rPr>
        <w:t xml:space="preserve">30.6.11 In cases where the applicant’s required responsibilities in scholarship/research (as noted in the letter of appointment) are minimal, primary emphasis shall be placed on teaching. Scholarship/research that is undertaken shall be assessed </w:t>
      </w:r>
      <w:proofErr w:type="gramStart"/>
      <w:r w:rsidRPr="00A336E7">
        <w:rPr>
          <w:i/>
          <w:iCs/>
        </w:rPr>
        <w:t>on the basis of</w:t>
      </w:r>
      <w:proofErr w:type="gramEnd"/>
      <w:r w:rsidRPr="00A336E7">
        <w:rPr>
          <w:i/>
          <w:iCs/>
        </w:rPr>
        <w:t xml:space="preserve"> whatever information as to quality is available.</w:t>
      </w:r>
    </w:p>
    <w:p w14:paraId="4F32B2E9" w14:textId="694E1652" w:rsidR="00AA3286" w:rsidRPr="00590724" w:rsidRDefault="00AA3286">
      <w:pPr>
        <w:rPr>
          <w:i/>
          <w:iCs/>
        </w:rPr>
      </w:pPr>
      <w:r w:rsidRPr="00AA3286">
        <w:rPr>
          <w:i/>
          <w:iCs/>
        </w:rPr>
        <w:t xml:space="preserve">32.6.2 For the promotion of Adjuncts, (a) the procedures set out in Article 30.7 through Article 30.16 shall apply mutatis mutandis; and (b) the criteria set out in Article </w:t>
      </w:r>
      <w:r w:rsidRPr="00AA3286">
        <w:rPr>
          <w:b/>
          <w:bCs/>
          <w:i/>
          <w:iCs/>
        </w:rPr>
        <w:t xml:space="preserve">30.6.1 through Article 30.6.9 </w:t>
      </w:r>
      <w:r w:rsidRPr="00AA3286">
        <w:rPr>
          <w:i/>
          <w:iCs/>
        </w:rPr>
        <w:t>shall apply to the same extent and in the same way that they apply to Tenured and Tenure-track faculty Members, except that when considering the length of time over which an Adjunct has developed their record of scholarly activity, the RTP Committee shall take into consideration any evidence as to the effect of the nature of the academic appointment(s) held by the Adjunct on their ability to engage in those scholarly activities; and (c) Where any Adjunct who was initially appointed at the rank of Lecturer and who has not obtained their Ph.D. applies for promotion to Assistant Professor: (</w:t>
      </w:r>
      <w:proofErr w:type="spellStart"/>
      <w:r w:rsidRPr="00AA3286">
        <w:rPr>
          <w:i/>
          <w:iCs/>
        </w:rPr>
        <w:t>i</w:t>
      </w:r>
      <w:proofErr w:type="spellEnd"/>
      <w:r w:rsidRPr="00AA3286">
        <w:rPr>
          <w:i/>
          <w:iCs/>
        </w:rPr>
        <w:t xml:space="preserve">) The procedures set out in Article 30.7 through 30.15 that pertain to Renewal shall be used; and(ii) In order to be promoted to Assistant Professor, the Member must show that the evidence </w:t>
      </w:r>
      <w:proofErr w:type="spellStart"/>
      <w:r w:rsidRPr="00AA3286">
        <w:rPr>
          <w:i/>
          <w:iCs/>
        </w:rPr>
        <w:t>favours</w:t>
      </w:r>
      <w:proofErr w:type="spellEnd"/>
      <w:r w:rsidRPr="00AA3286">
        <w:rPr>
          <w:i/>
          <w:iCs/>
        </w:rPr>
        <w:t xml:space="preserve"> promotion to Assistant Professor.</w:t>
      </w:r>
    </w:p>
    <w:tbl>
      <w:tblPr>
        <w:tblStyle w:val="TableGrid"/>
        <w:tblW w:w="0" w:type="auto"/>
        <w:tblLook w:val="04A0" w:firstRow="1" w:lastRow="0" w:firstColumn="1" w:lastColumn="0" w:noHBand="0" w:noVBand="1"/>
      </w:tblPr>
      <w:tblGrid>
        <w:gridCol w:w="4585"/>
        <w:gridCol w:w="3150"/>
        <w:gridCol w:w="5490"/>
        <w:gridCol w:w="3690"/>
      </w:tblGrid>
      <w:tr w:rsidR="00A336E7" w14:paraId="66ADC35C" w14:textId="77777777" w:rsidTr="00AA3286">
        <w:tc>
          <w:tcPr>
            <w:tcW w:w="4585" w:type="dxa"/>
          </w:tcPr>
          <w:p w14:paraId="7A954215" w14:textId="17421D75" w:rsidR="00A336E7" w:rsidRDefault="00A336E7">
            <w:pPr>
              <w:rPr>
                <w:i/>
                <w:iCs/>
              </w:rPr>
            </w:pPr>
            <w:r>
              <w:rPr>
                <w:i/>
                <w:iCs/>
              </w:rPr>
              <w:t xml:space="preserve">Renewal </w:t>
            </w:r>
          </w:p>
        </w:tc>
        <w:tc>
          <w:tcPr>
            <w:tcW w:w="3150" w:type="dxa"/>
          </w:tcPr>
          <w:p w14:paraId="4B152839" w14:textId="4775CF52" w:rsidR="00A336E7" w:rsidRDefault="00A336E7">
            <w:pPr>
              <w:rPr>
                <w:i/>
                <w:iCs/>
              </w:rPr>
            </w:pPr>
            <w:r>
              <w:rPr>
                <w:i/>
                <w:iCs/>
              </w:rPr>
              <w:t>Assistant Professor</w:t>
            </w:r>
          </w:p>
        </w:tc>
        <w:tc>
          <w:tcPr>
            <w:tcW w:w="5490" w:type="dxa"/>
          </w:tcPr>
          <w:p w14:paraId="05B4F1A5" w14:textId="11974DCD" w:rsidR="00A336E7" w:rsidRDefault="00A336E7">
            <w:pPr>
              <w:rPr>
                <w:i/>
                <w:iCs/>
              </w:rPr>
            </w:pPr>
            <w:r>
              <w:rPr>
                <w:i/>
                <w:iCs/>
              </w:rPr>
              <w:t>Tenure/Associate Professor</w:t>
            </w:r>
          </w:p>
        </w:tc>
        <w:tc>
          <w:tcPr>
            <w:tcW w:w="3690" w:type="dxa"/>
          </w:tcPr>
          <w:p w14:paraId="09A6FFBE" w14:textId="79F41B30" w:rsidR="00A336E7" w:rsidRDefault="00A336E7">
            <w:pPr>
              <w:rPr>
                <w:i/>
                <w:iCs/>
              </w:rPr>
            </w:pPr>
            <w:r>
              <w:rPr>
                <w:i/>
                <w:iCs/>
              </w:rPr>
              <w:t xml:space="preserve">Professor </w:t>
            </w:r>
          </w:p>
        </w:tc>
      </w:tr>
      <w:tr w:rsidR="00A336E7" w14:paraId="48F0B7A9" w14:textId="77777777" w:rsidTr="00AA3286">
        <w:tc>
          <w:tcPr>
            <w:tcW w:w="4585" w:type="dxa"/>
          </w:tcPr>
          <w:p w14:paraId="6E2FF4CC" w14:textId="77777777" w:rsidR="00AA3286" w:rsidRDefault="00A336E7">
            <w:pPr>
              <w:rPr>
                <w:i/>
                <w:iCs/>
              </w:rPr>
            </w:pPr>
            <w:r w:rsidRPr="00A336E7">
              <w:rPr>
                <w:i/>
                <w:iCs/>
              </w:rPr>
              <w:t xml:space="preserve">30.6.2 Renewal for Tenure-track faculty shall be granted when there is clear evidence of a commitment to academic excellence, some demonstrated professional growth, and the prospect </w:t>
            </w:r>
            <w:r w:rsidRPr="00A336E7">
              <w:rPr>
                <w:i/>
                <w:iCs/>
              </w:rPr>
              <w:lastRenderedPageBreak/>
              <w:t xml:space="preserve">(based on the record of accomplishments to date) of future development, as reflected in the following, which may include any information provided per Article 24.1.6: (a) A record as a good teacher; and (b) Clear evidence of high quality scholarly or creative work which is normally, but not necessarily, demonstrated by presentation or publication in a suitable academic or artistic forum. Writing and research with respect to pedagogy and innovative teaching shall be assessed as scholarly activity. The diverse backgrounds of Members and the type of scholarship appropriate to their research areas, as well as the diverse range of scholarly methodologies and ways of measuring impact, shall be </w:t>
            </w:r>
            <w:proofErr w:type="gramStart"/>
            <w:r w:rsidRPr="00A336E7">
              <w:rPr>
                <w:i/>
                <w:iCs/>
              </w:rPr>
              <w:t>taken into account</w:t>
            </w:r>
            <w:proofErr w:type="gramEnd"/>
            <w:r w:rsidRPr="00A336E7">
              <w:rPr>
                <w:i/>
                <w:iCs/>
              </w:rPr>
              <w:t xml:space="preserve"> when assessing the quality of scholarly or creative work.</w:t>
            </w:r>
          </w:p>
          <w:p w14:paraId="64BD36EA" w14:textId="77777777" w:rsidR="00AA3286" w:rsidRDefault="00AA3286">
            <w:pPr>
              <w:rPr>
                <w:i/>
                <w:iCs/>
              </w:rPr>
            </w:pPr>
          </w:p>
          <w:p w14:paraId="332C8820" w14:textId="40CF1DF6" w:rsidR="00A336E7" w:rsidRDefault="00AA3286">
            <w:pPr>
              <w:rPr>
                <w:i/>
                <w:iCs/>
              </w:rPr>
            </w:pPr>
            <w:r w:rsidRPr="00A336E7">
              <w:rPr>
                <w:i/>
                <w:iCs/>
              </w:rPr>
              <w:t xml:space="preserve"> 30.6.3 In a decision about Renewal, there shall be a presumption in </w:t>
            </w:r>
            <w:proofErr w:type="spellStart"/>
            <w:r w:rsidRPr="00A336E7">
              <w:rPr>
                <w:i/>
                <w:iCs/>
              </w:rPr>
              <w:t>favour</w:t>
            </w:r>
            <w:proofErr w:type="spellEnd"/>
            <w:r w:rsidRPr="00A336E7">
              <w:rPr>
                <w:i/>
                <w:iCs/>
              </w:rPr>
              <w:t xml:space="preserve"> of Renewal. </w:t>
            </w:r>
            <w:proofErr w:type="gramStart"/>
            <w:r w:rsidRPr="00A336E7">
              <w:rPr>
                <w:i/>
                <w:iCs/>
              </w:rPr>
              <w:t>In order to</w:t>
            </w:r>
            <w:proofErr w:type="gramEnd"/>
            <w:r w:rsidRPr="00A336E7">
              <w:rPr>
                <w:i/>
                <w:iCs/>
              </w:rPr>
              <w:t xml:space="preserve"> refuse an appointment, the University must be able to demonstrate that the weight of evidence is in </w:t>
            </w:r>
            <w:proofErr w:type="spellStart"/>
            <w:r w:rsidRPr="00A336E7">
              <w:rPr>
                <w:i/>
                <w:iCs/>
              </w:rPr>
              <w:t>favour</w:t>
            </w:r>
            <w:proofErr w:type="spellEnd"/>
            <w:r w:rsidRPr="00A336E7">
              <w:rPr>
                <w:i/>
                <w:iCs/>
              </w:rPr>
              <w:t xml:space="preserve"> of non-Renewal.</w:t>
            </w:r>
          </w:p>
        </w:tc>
        <w:tc>
          <w:tcPr>
            <w:tcW w:w="3150" w:type="dxa"/>
          </w:tcPr>
          <w:p w14:paraId="4E6EF616" w14:textId="50108CA2" w:rsidR="00A336E7" w:rsidRDefault="00257648">
            <w:pPr>
              <w:rPr>
                <w:i/>
                <w:iCs/>
              </w:rPr>
            </w:pPr>
            <w:r w:rsidRPr="00257648">
              <w:rPr>
                <w:i/>
                <w:iCs/>
              </w:rPr>
              <w:lastRenderedPageBreak/>
              <w:t xml:space="preserve">30.6.8 </w:t>
            </w:r>
            <w:r w:rsidR="00A336E7" w:rsidRPr="00A336E7">
              <w:rPr>
                <w:i/>
                <w:iCs/>
              </w:rPr>
              <w:t xml:space="preserve">(a) Assistant Professor: The Member must be a good teacher. In those disciplines where a Ph.D. is usually required, </w:t>
            </w:r>
            <w:r w:rsidR="00A336E7" w:rsidRPr="00A336E7">
              <w:rPr>
                <w:i/>
                <w:iCs/>
              </w:rPr>
              <w:lastRenderedPageBreak/>
              <w:t>the Member normally will have completed the doctorate. Otherwise, evidence of the successful initiation of research and scholarly work or comparable professional or creative work is required. Writing and research with respect to pedagogy and innovative teaching shall be assessed as scholarly activity. The Member’s participation in the operation of the Department, Unit, Faculty or University or contributions to their profession may be taken into consideration. Any tenure track Member who was initially appointed with the rank of Lecturer because they have not yet obtained their Ph.D. shall be appointed with the rank of Assistant Professor upon obtaining this degree without the need to apply for promotion under this Article.</w:t>
            </w:r>
          </w:p>
        </w:tc>
        <w:tc>
          <w:tcPr>
            <w:tcW w:w="5490" w:type="dxa"/>
          </w:tcPr>
          <w:p w14:paraId="203415CC" w14:textId="77777777" w:rsidR="00AA3286" w:rsidRDefault="00A336E7">
            <w:pPr>
              <w:rPr>
                <w:i/>
                <w:iCs/>
              </w:rPr>
            </w:pPr>
            <w:r w:rsidRPr="00A336E7">
              <w:rPr>
                <w:i/>
                <w:iCs/>
              </w:rPr>
              <w:lastRenderedPageBreak/>
              <w:t xml:space="preserve">30.6.4 Tenure as defined in Article 25.1.2.3 shall be granted when there is clear evidence of demonstrated professional growth and the promise of future development as reflected in the following, which may include any information provided per </w:t>
            </w:r>
            <w:r w:rsidRPr="00A336E7">
              <w:rPr>
                <w:i/>
                <w:iCs/>
              </w:rPr>
              <w:lastRenderedPageBreak/>
              <w:t xml:space="preserve">Article 24.1.6: (a) A record as a very good teacher committed to academic and pedagogical excellence; (b) A record of high quality and expert peer-assessed scholarly or creative work which is normally demonstrated by presentation or publication in a suitable academic or artistic forum; writing and research with respect to pedagogy and innovative teaching shall be assessed as scholarly activity; the diverse backgrounds of Members and the type of scholarship appropriate to their research areas, as well as the diverse range of scholarly methodologies and ways of measuring impact, shall be taken into account when assessing the quality of scholarly or creative work; and (c) A record of professional, University or community service which has contributed to the Department, Unit, Faculty, University or broader academic community. </w:t>
            </w:r>
          </w:p>
          <w:p w14:paraId="4FE8DE5C" w14:textId="77777777" w:rsidR="00AA3286" w:rsidRDefault="00AA3286">
            <w:pPr>
              <w:rPr>
                <w:i/>
                <w:iCs/>
              </w:rPr>
            </w:pPr>
          </w:p>
          <w:p w14:paraId="11E38841" w14:textId="5A81C6C1" w:rsidR="00AA3286" w:rsidRDefault="00A336E7" w:rsidP="00AA3286">
            <w:pPr>
              <w:rPr>
                <w:i/>
                <w:iCs/>
              </w:rPr>
            </w:pPr>
            <w:r w:rsidRPr="00A336E7">
              <w:rPr>
                <w:i/>
                <w:iCs/>
              </w:rPr>
              <w:t xml:space="preserve">30.6.5 </w:t>
            </w:r>
            <w:r w:rsidR="00AA3286" w:rsidRPr="00A336E7">
              <w:rPr>
                <w:i/>
                <w:iCs/>
              </w:rPr>
              <w:t xml:space="preserve">In order to be granted Tenure as defined in Article 25.1.2.3, the Member must show that the evidence </w:t>
            </w:r>
            <w:proofErr w:type="spellStart"/>
            <w:r w:rsidR="00AA3286" w:rsidRPr="00A336E7">
              <w:rPr>
                <w:i/>
                <w:iCs/>
              </w:rPr>
              <w:t>favours</w:t>
            </w:r>
            <w:proofErr w:type="spellEnd"/>
            <w:r w:rsidR="00AA3286" w:rsidRPr="00A336E7">
              <w:rPr>
                <w:i/>
                <w:iCs/>
              </w:rPr>
              <w:t xml:space="preserve"> granting Tenure.</w:t>
            </w:r>
          </w:p>
        </w:tc>
        <w:tc>
          <w:tcPr>
            <w:tcW w:w="3690" w:type="dxa"/>
          </w:tcPr>
          <w:p w14:paraId="696600AE" w14:textId="623542AF" w:rsidR="00A336E7" w:rsidRDefault="00257648">
            <w:pPr>
              <w:rPr>
                <w:i/>
                <w:iCs/>
              </w:rPr>
            </w:pPr>
            <w:r w:rsidRPr="00257648">
              <w:rPr>
                <w:i/>
                <w:iCs/>
              </w:rPr>
              <w:lastRenderedPageBreak/>
              <w:t xml:space="preserve">30.6.8 </w:t>
            </w:r>
            <w:r w:rsidR="00A336E7" w:rsidRPr="00A336E7">
              <w:rPr>
                <w:i/>
                <w:iCs/>
              </w:rPr>
              <w:t>(c) Professor: The Member must either combine: (</w:t>
            </w:r>
            <w:proofErr w:type="spellStart"/>
            <w:r w:rsidR="00A336E7" w:rsidRPr="00A336E7">
              <w:rPr>
                <w:i/>
                <w:iCs/>
              </w:rPr>
              <w:t>i</w:t>
            </w:r>
            <w:proofErr w:type="spellEnd"/>
            <w:r w:rsidR="00A336E7" w:rsidRPr="00A336E7">
              <w:rPr>
                <w:i/>
                <w:iCs/>
              </w:rPr>
              <w:t xml:space="preserve">) scholarly or creative work judged to be distinguished with very good teaching; or (ii) continuing high </w:t>
            </w:r>
            <w:r w:rsidR="00A336E7" w:rsidRPr="00A336E7">
              <w:rPr>
                <w:i/>
                <w:iCs/>
              </w:rPr>
              <w:lastRenderedPageBreak/>
              <w:t xml:space="preserve">quality scholarly work with exceptional contributions in teaching; or (iii) scholarly or creative work judged to be distinguished with exceptional contributions in teaching. The Member is also expected to have </w:t>
            </w:r>
            <w:proofErr w:type="gramStart"/>
            <w:r w:rsidR="00A336E7" w:rsidRPr="00A336E7">
              <w:rPr>
                <w:i/>
                <w:iCs/>
              </w:rPr>
              <w:t>made a contribution</w:t>
            </w:r>
            <w:proofErr w:type="gramEnd"/>
            <w:r w:rsidR="00A336E7" w:rsidRPr="00A336E7">
              <w:rPr>
                <w:i/>
                <w:iCs/>
              </w:rPr>
              <w:t xml:space="preserve"> to the successful operation of the Department, Unit, Faculty or University via their administrative service responsibilities. Contributions to their profession and community also are relevant. Writing and research with respect to pedagogy and innovative teaching shall be assessed as scholarly activity. Any positive recommendation </w:t>
            </w:r>
            <w:proofErr w:type="gramStart"/>
            <w:r w:rsidR="00A336E7" w:rsidRPr="00A336E7">
              <w:rPr>
                <w:i/>
                <w:iCs/>
              </w:rPr>
              <w:t>with regard to</w:t>
            </w:r>
            <w:proofErr w:type="gramEnd"/>
            <w:r w:rsidR="00A336E7" w:rsidRPr="00A336E7">
              <w:rPr>
                <w:i/>
                <w:iCs/>
              </w:rPr>
              <w:t xml:space="preserve"> promotion to the rank of Professor shall clearly indicate whether the recommendation is made </w:t>
            </w:r>
            <w:proofErr w:type="gramStart"/>
            <w:r w:rsidR="00A336E7" w:rsidRPr="00A336E7">
              <w:rPr>
                <w:i/>
                <w:iCs/>
              </w:rPr>
              <w:t>on the basis of</w:t>
            </w:r>
            <w:proofErr w:type="gramEnd"/>
            <w:r w:rsidR="00A336E7" w:rsidRPr="00A336E7">
              <w:rPr>
                <w:i/>
                <w:iCs/>
              </w:rPr>
              <w:t xml:space="preserve"> the criteria described at Article 30.6.8 (c)(</w:t>
            </w:r>
            <w:proofErr w:type="spellStart"/>
            <w:r w:rsidR="00A336E7" w:rsidRPr="00A336E7">
              <w:rPr>
                <w:i/>
                <w:iCs/>
              </w:rPr>
              <w:t>i</w:t>
            </w:r>
            <w:proofErr w:type="spellEnd"/>
            <w:r w:rsidR="00A336E7" w:rsidRPr="00A336E7">
              <w:rPr>
                <w:i/>
                <w:iCs/>
              </w:rPr>
              <w:t>) or 30.6.8 (c)(ii) or 30.6.8 (c)(iii).</w:t>
            </w:r>
          </w:p>
          <w:p w14:paraId="1B7FFA96" w14:textId="77777777" w:rsidR="00AA3286" w:rsidRDefault="00AA3286">
            <w:pPr>
              <w:rPr>
                <w:i/>
                <w:iCs/>
              </w:rPr>
            </w:pPr>
          </w:p>
          <w:p w14:paraId="60EEEC6B" w14:textId="0934F43F" w:rsidR="00AA3286" w:rsidRDefault="00AA3286">
            <w:pPr>
              <w:rPr>
                <w:i/>
                <w:iCs/>
              </w:rPr>
            </w:pPr>
            <w:r w:rsidRPr="00A336E7">
              <w:rPr>
                <w:i/>
                <w:iCs/>
              </w:rPr>
              <w:t xml:space="preserve">30.6.7 In order to be promoted to the rank of Professor, the Member must show that the evidence </w:t>
            </w:r>
            <w:proofErr w:type="spellStart"/>
            <w:r w:rsidRPr="00A336E7">
              <w:rPr>
                <w:i/>
                <w:iCs/>
              </w:rPr>
              <w:t>favours</w:t>
            </w:r>
            <w:proofErr w:type="spellEnd"/>
            <w:r w:rsidRPr="00A336E7">
              <w:rPr>
                <w:i/>
                <w:iCs/>
              </w:rPr>
              <w:t xml:space="preserve"> granting the promotion.</w:t>
            </w:r>
          </w:p>
        </w:tc>
      </w:tr>
    </w:tbl>
    <w:p w14:paraId="77CFA5BC" w14:textId="1B90C5E0" w:rsidR="00A336E7" w:rsidRPr="00590724" w:rsidRDefault="00A336E7" w:rsidP="00AA3286">
      <w:pPr>
        <w:rPr>
          <w:i/>
          <w:iCs/>
        </w:rPr>
      </w:pPr>
    </w:p>
    <w:sectPr w:rsidR="00A336E7" w:rsidRPr="00590724" w:rsidSect="00A336E7">
      <w:pgSz w:w="20160" w:h="12240" w:orient="landscape"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E7313" w14:textId="77777777" w:rsidR="00EE21B2" w:rsidRDefault="00EE21B2" w:rsidP="00A336E7">
      <w:pPr>
        <w:spacing w:after="0" w:line="240" w:lineRule="auto"/>
      </w:pPr>
      <w:r>
        <w:separator/>
      </w:r>
    </w:p>
  </w:endnote>
  <w:endnote w:type="continuationSeparator" w:id="0">
    <w:p w14:paraId="7DBA2B35" w14:textId="77777777" w:rsidR="00EE21B2" w:rsidRDefault="00EE21B2" w:rsidP="00A336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BE361" w14:textId="38A7DF0A" w:rsidR="00A336E7" w:rsidRDefault="00A336E7">
    <w:pPr>
      <w:pStyle w:val="Footer"/>
    </w:pPr>
    <w:r w:rsidRPr="005201DA">
      <w:rPr>
        <w:noProof/>
      </w:rPr>
      <w:drawing>
        <wp:anchor distT="0" distB="0" distL="114300" distR="114300" simplePos="0" relativeHeight="251661312" behindDoc="1" locked="0" layoutInCell="1" allowOverlap="1" wp14:anchorId="1B24513C" wp14:editId="5B4D3307">
          <wp:simplePos x="0" y="0"/>
          <wp:positionH relativeFrom="page">
            <wp:align>right</wp:align>
          </wp:positionH>
          <wp:positionV relativeFrom="page">
            <wp:posOffset>9069213</wp:posOffset>
          </wp:positionV>
          <wp:extent cx="8058785" cy="1487805"/>
          <wp:effectExtent l="0" t="0" r="0" b="0"/>
          <wp:wrapNone/>
          <wp:docPr id="5"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058785" cy="148780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F2C40" w14:textId="77777777" w:rsidR="00EE21B2" w:rsidRDefault="00EE21B2" w:rsidP="00A336E7">
      <w:pPr>
        <w:spacing w:after="0" w:line="240" w:lineRule="auto"/>
      </w:pPr>
      <w:r>
        <w:separator/>
      </w:r>
    </w:p>
  </w:footnote>
  <w:footnote w:type="continuationSeparator" w:id="0">
    <w:p w14:paraId="05EF5FAD" w14:textId="77777777" w:rsidR="00EE21B2" w:rsidRDefault="00EE21B2" w:rsidP="00A336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A3367" w14:textId="34316169" w:rsidR="00A336E7" w:rsidRDefault="00A336E7">
    <w:pPr>
      <w:pStyle w:val="Header"/>
    </w:pPr>
    <w:r>
      <w:rPr>
        <w:noProof/>
      </w:rPr>
      <w:drawing>
        <wp:anchor distT="0" distB="0" distL="114300" distR="114300" simplePos="0" relativeHeight="251659264" behindDoc="0" locked="0" layoutInCell="1" allowOverlap="1" wp14:anchorId="6572C3B2" wp14:editId="7ECA7999">
          <wp:simplePos x="0" y="0"/>
          <wp:positionH relativeFrom="page">
            <wp:posOffset>-190500</wp:posOffset>
          </wp:positionH>
          <wp:positionV relativeFrom="page">
            <wp:align>top</wp:align>
          </wp:positionV>
          <wp:extent cx="7744460" cy="666750"/>
          <wp:effectExtent l="0" t="0" r="0" b="0"/>
          <wp:wrapTopAndBottom/>
          <wp:docPr id="2"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rotWithShape="1">
                  <a:blip r:embed="rId1">
                    <a:extLst>
                      <a:ext uri="{28A0092B-C50C-407E-A947-70E740481C1C}">
                        <a14:useLocalDpi xmlns:a14="http://schemas.microsoft.com/office/drawing/2010/main" val="0"/>
                      </a:ext>
                    </a:extLst>
                  </a:blip>
                  <a:srcRect t="31587" b="21369"/>
                  <a:stretch/>
                </pic:blipFill>
                <pic:spPr bwMode="auto">
                  <a:xfrm>
                    <a:off x="0" y="0"/>
                    <a:ext cx="7744460" cy="666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F6F"/>
    <w:rsid w:val="00046218"/>
    <w:rsid w:val="00063D51"/>
    <w:rsid w:val="0008588B"/>
    <w:rsid w:val="001065A0"/>
    <w:rsid w:val="00154F6F"/>
    <w:rsid w:val="001730F3"/>
    <w:rsid w:val="001B5B90"/>
    <w:rsid w:val="001D7710"/>
    <w:rsid w:val="00201EE4"/>
    <w:rsid w:val="0024048C"/>
    <w:rsid w:val="00257648"/>
    <w:rsid w:val="0029127A"/>
    <w:rsid w:val="002C034C"/>
    <w:rsid w:val="002E5462"/>
    <w:rsid w:val="002F0D93"/>
    <w:rsid w:val="003A2D44"/>
    <w:rsid w:val="003F3473"/>
    <w:rsid w:val="0040252F"/>
    <w:rsid w:val="00426F7B"/>
    <w:rsid w:val="0052627F"/>
    <w:rsid w:val="00590724"/>
    <w:rsid w:val="005E769E"/>
    <w:rsid w:val="007B52AE"/>
    <w:rsid w:val="00980AC4"/>
    <w:rsid w:val="009D1656"/>
    <w:rsid w:val="00A336E7"/>
    <w:rsid w:val="00A824B1"/>
    <w:rsid w:val="00AA3286"/>
    <w:rsid w:val="00AB4C22"/>
    <w:rsid w:val="00AF785D"/>
    <w:rsid w:val="00B437BB"/>
    <w:rsid w:val="00D2147C"/>
    <w:rsid w:val="00D93EA4"/>
    <w:rsid w:val="00DF1EF2"/>
    <w:rsid w:val="00E33C9C"/>
    <w:rsid w:val="00EB41B5"/>
    <w:rsid w:val="00EE21B2"/>
    <w:rsid w:val="00FE08F0"/>
    <w:rsid w:val="00FF02E7"/>
    <w:rsid w:val="02E74F57"/>
    <w:rsid w:val="0A40DFB9"/>
    <w:rsid w:val="186C09FB"/>
    <w:rsid w:val="2382EFF8"/>
    <w:rsid w:val="45582134"/>
    <w:rsid w:val="53C04C93"/>
    <w:rsid w:val="5895687A"/>
    <w:rsid w:val="5F0125BD"/>
    <w:rsid w:val="6C47B479"/>
    <w:rsid w:val="7036A990"/>
    <w:rsid w:val="7A6D7E31"/>
    <w:rsid w:val="7A92258F"/>
    <w:rsid w:val="7E600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2AF42"/>
  <w15:chartTrackingRefBased/>
  <w15:docId w15:val="{90C99371-F448-42DC-B71E-E862CE8FA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4F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4F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4F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4F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4F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4F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4F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4F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4F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F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4F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4F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4F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4F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4F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4F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4F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4F6F"/>
    <w:rPr>
      <w:rFonts w:eastAsiaTheme="majorEastAsia" w:cstheme="majorBidi"/>
      <w:color w:val="272727" w:themeColor="text1" w:themeTint="D8"/>
    </w:rPr>
  </w:style>
  <w:style w:type="paragraph" w:styleId="Title">
    <w:name w:val="Title"/>
    <w:basedOn w:val="Normal"/>
    <w:next w:val="Normal"/>
    <w:link w:val="TitleChar"/>
    <w:uiPriority w:val="10"/>
    <w:qFormat/>
    <w:rsid w:val="00154F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4F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4F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4F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4F6F"/>
    <w:pPr>
      <w:spacing w:before="160"/>
      <w:jc w:val="center"/>
    </w:pPr>
    <w:rPr>
      <w:i/>
      <w:iCs/>
      <w:color w:val="404040" w:themeColor="text1" w:themeTint="BF"/>
    </w:rPr>
  </w:style>
  <w:style w:type="character" w:customStyle="1" w:styleId="QuoteChar">
    <w:name w:val="Quote Char"/>
    <w:basedOn w:val="DefaultParagraphFont"/>
    <w:link w:val="Quote"/>
    <w:uiPriority w:val="29"/>
    <w:rsid w:val="00154F6F"/>
    <w:rPr>
      <w:i/>
      <w:iCs/>
      <w:color w:val="404040" w:themeColor="text1" w:themeTint="BF"/>
    </w:rPr>
  </w:style>
  <w:style w:type="paragraph" w:styleId="ListParagraph">
    <w:name w:val="List Paragraph"/>
    <w:basedOn w:val="Normal"/>
    <w:uiPriority w:val="34"/>
    <w:qFormat/>
    <w:rsid w:val="00154F6F"/>
    <w:pPr>
      <w:ind w:left="720"/>
      <w:contextualSpacing/>
    </w:pPr>
  </w:style>
  <w:style w:type="character" w:styleId="IntenseEmphasis">
    <w:name w:val="Intense Emphasis"/>
    <w:basedOn w:val="DefaultParagraphFont"/>
    <w:uiPriority w:val="21"/>
    <w:qFormat/>
    <w:rsid w:val="00154F6F"/>
    <w:rPr>
      <w:i/>
      <w:iCs/>
      <w:color w:val="0F4761" w:themeColor="accent1" w:themeShade="BF"/>
    </w:rPr>
  </w:style>
  <w:style w:type="paragraph" w:styleId="IntenseQuote">
    <w:name w:val="Intense Quote"/>
    <w:basedOn w:val="Normal"/>
    <w:next w:val="Normal"/>
    <w:link w:val="IntenseQuoteChar"/>
    <w:uiPriority w:val="30"/>
    <w:qFormat/>
    <w:rsid w:val="00154F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4F6F"/>
    <w:rPr>
      <w:i/>
      <w:iCs/>
      <w:color w:val="0F4761" w:themeColor="accent1" w:themeShade="BF"/>
    </w:rPr>
  </w:style>
  <w:style w:type="character" w:styleId="IntenseReference">
    <w:name w:val="Intense Reference"/>
    <w:basedOn w:val="DefaultParagraphFont"/>
    <w:uiPriority w:val="32"/>
    <w:qFormat/>
    <w:rsid w:val="00154F6F"/>
    <w:rPr>
      <w:b/>
      <w:bCs/>
      <w:smallCaps/>
      <w:color w:val="0F4761" w:themeColor="accent1" w:themeShade="BF"/>
      <w:spacing w:val="5"/>
    </w:rPr>
  </w:style>
  <w:style w:type="paragraph" w:styleId="Revision">
    <w:name w:val="Revision"/>
    <w:hidden/>
    <w:uiPriority w:val="99"/>
    <w:semiHidden/>
    <w:rsid w:val="00DF1EF2"/>
    <w:pPr>
      <w:spacing w:after="0" w:line="240" w:lineRule="auto"/>
    </w:pPr>
  </w:style>
  <w:style w:type="character" w:styleId="CommentReference">
    <w:name w:val="annotation reference"/>
    <w:basedOn w:val="DefaultParagraphFont"/>
    <w:uiPriority w:val="99"/>
    <w:semiHidden/>
    <w:unhideWhenUsed/>
    <w:rsid w:val="00FE08F0"/>
    <w:rPr>
      <w:sz w:val="16"/>
      <w:szCs w:val="16"/>
    </w:rPr>
  </w:style>
  <w:style w:type="paragraph" w:styleId="CommentText">
    <w:name w:val="annotation text"/>
    <w:basedOn w:val="Normal"/>
    <w:link w:val="CommentTextChar"/>
    <w:uiPriority w:val="99"/>
    <w:unhideWhenUsed/>
    <w:rsid w:val="00FE08F0"/>
    <w:pPr>
      <w:spacing w:line="240" w:lineRule="auto"/>
    </w:pPr>
    <w:rPr>
      <w:sz w:val="20"/>
      <w:szCs w:val="20"/>
    </w:rPr>
  </w:style>
  <w:style w:type="character" w:customStyle="1" w:styleId="CommentTextChar">
    <w:name w:val="Comment Text Char"/>
    <w:basedOn w:val="DefaultParagraphFont"/>
    <w:link w:val="CommentText"/>
    <w:uiPriority w:val="99"/>
    <w:rsid w:val="00FE08F0"/>
    <w:rPr>
      <w:sz w:val="20"/>
      <w:szCs w:val="20"/>
    </w:rPr>
  </w:style>
  <w:style w:type="paragraph" w:styleId="CommentSubject">
    <w:name w:val="annotation subject"/>
    <w:basedOn w:val="CommentText"/>
    <w:next w:val="CommentText"/>
    <w:link w:val="CommentSubjectChar"/>
    <w:uiPriority w:val="99"/>
    <w:semiHidden/>
    <w:unhideWhenUsed/>
    <w:rsid w:val="00FE08F0"/>
    <w:rPr>
      <w:b/>
      <w:bCs/>
    </w:rPr>
  </w:style>
  <w:style w:type="character" w:customStyle="1" w:styleId="CommentSubjectChar">
    <w:name w:val="Comment Subject Char"/>
    <w:basedOn w:val="CommentTextChar"/>
    <w:link w:val="CommentSubject"/>
    <w:uiPriority w:val="99"/>
    <w:semiHidden/>
    <w:rsid w:val="00FE08F0"/>
    <w:rPr>
      <w:b/>
      <w:bCs/>
      <w:sz w:val="20"/>
      <w:szCs w:val="20"/>
    </w:rPr>
  </w:style>
  <w:style w:type="paragraph" w:styleId="Header">
    <w:name w:val="header"/>
    <w:basedOn w:val="Normal"/>
    <w:link w:val="HeaderChar"/>
    <w:uiPriority w:val="99"/>
    <w:unhideWhenUsed/>
    <w:rsid w:val="00A336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6E7"/>
  </w:style>
  <w:style w:type="paragraph" w:styleId="Footer">
    <w:name w:val="footer"/>
    <w:basedOn w:val="Normal"/>
    <w:link w:val="FooterChar"/>
    <w:uiPriority w:val="99"/>
    <w:unhideWhenUsed/>
    <w:rsid w:val="00A336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6E7"/>
  </w:style>
  <w:style w:type="table" w:styleId="TableGrid">
    <w:name w:val="Table Grid"/>
    <w:basedOn w:val="TableNormal"/>
    <w:uiPriority w:val="39"/>
    <w:rsid w:val="00A33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0F232980AD5B429D089E0F193B438B" ma:contentTypeVersion="12" ma:contentTypeDescription="Create a new document." ma:contentTypeScope="" ma:versionID="7a2664ff4f911e3100192fda33fa682e">
  <xsd:schema xmlns:xsd="http://www.w3.org/2001/XMLSchema" xmlns:xs="http://www.w3.org/2001/XMLSchema" xmlns:p="http://schemas.microsoft.com/office/2006/metadata/properties" xmlns:ns2="21762acb-73d6-4c5d-932a-a76c0d9633de" xmlns:ns3="e160cc47-c4c8-4068-a43f-56f36109c7d1" targetNamespace="http://schemas.microsoft.com/office/2006/metadata/properties" ma:root="true" ma:fieldsID="49d54af6c1c0cd93b7d312d922df1ca5" ns2:_="" ns3:_="">
    <xsd:import namespace="21762acb-73d6-4c5d-932a-a76c0d9633de"/>
    <xsd:import namespace="e160cc47-c4c8-4068-a43f-56f36109c7d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element ref="ns2:MediaServiceSearchPropertie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762acb-73d6-4c5d-932a-a76c0d9633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60cc47-c4c8-4068-a43f-56f36109c7d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40562E1-9798-4387-BBB9-379AA9536934}"/>
</file>

<file path=customXml/itemProps2.xml><?xml version="1.0" encoding="utf-8"?>
<ds:datastoreItem xmlns:ds="http://schemas.openxmlformats.org/officeDocument/2006/customXml" ds:itemID="{53677BC9-AF4B-4419-AA03-B44AAB0C3E1B}">
  <ds:schemaRefs>
    <ds:schemaRef ds:uri="http://schemas.openxmlformats.org/officeDocument/2006/bibliography"/>
  </ds:schemaRefs>
</ds:datastoreItem>
</file>

<file path=customXml/itemProps3.xml><?xml version="1.0" encoding="utf-8"?>
<ds:datastoreItem xmlns:ds="http://schemas.openxmlformats.org/officeDocument/2006/customXml" ds:itemID="{0C8DF5AF-F224-4800-A4C8-99FF3A691B8A}">
  <ds:schemaRefs>
    <ds:schemaRef ds:uri="http://schemas.microsoft.com/sharepoint/v3/contenttype/forms"/>
  </ds:schemaRefs>
</ds:datastoreItem>
</file>

<file path=customXml/itemProps4.xml><?xml version="1.0" encoding="utf-8"?>
<ds:datastoreItem xmlns:ds="http://schemas.openxmlformats.org/officeDocument/2006/customXml" ds:itemID="{8D9A1367-E7E4-4962-8FCC-5FE6C4F61D85}">
  <ds:schemaRefs>
    <ds:schemaRef ds:uri="http://schemas.microsoft.com/office/2006/metadata/properties"/>
    <ds:schemaRef ds:uri="http://schemas.microsoft.com/office/infopath/2007/PartnerControls"/>
    <ds:schemaRef ds:uri="89889d3b-f693-4fdf-b23b-3aef453d6439"/>
    <ds:schemaRef ds:uri="11c8ad6f-9d34-47f8-9131-a0792dc35bb8"/>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1402</Words>
  <Characters>7998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Queen's University</Company>
  <LinksUpToDate>false</LinksUpToDate>
  <CharactersWithSpaces>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LaRose</dc:creator>
  <cp:keywords/>
  <dc:description/>
  <cp:lastModifiedBy>Amanda LaRose</cp:lastModifiedBy>
  <cp:revision>4</cp:revision>
  <dcterms:created xsi:type="dcterms:W3CDTF">2026-10-29T14:39:00Z</dcterms:created>
  <dcterms:modified xsi:type="dcterms:W3CDTF">2026-11-02T16:09:00Z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0x010100E90F232980AD5B429D089E0F193B438B</vt:lpwstr>
  </property>
  <property fmtid="{D5CDD505-2E9C-101B-9397-08002B2CF9AE}" pid="3" name="MediaServiceImageTags">
    <vt:lpwstr/>
  </property>
</Properties>
</file>