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A78C" w14:textId="0E134BE9" w:rsidR="0041304A" w:rsidRPr="00B34A3D" w:rsidRDefault="0041304A" w:rsidP="00B34A3D">
      <w:pPr>
        <w:pStyle w:val="BodyText"/>
        <w:ind w:left="109"/>
        <w:jc w:val="center"/>
        <w:rPr>
          <w:b/>
          <w:bCs/>
          <w:w w:val="105"/>
          <w:sz w:val="28"/>
          <w:szCs w:val="28"/>
        </w:rPr>
      </w:pPr>
      <w:r w:rsidRPr="00B34A3D">
        <w:rPr>
          <w:b/>
          <w:bCs/>
          <w:w w:val="105"/>
          <w:sz w:val="28"/>
          <w:szCs w:val="28"/>
        </w:rPr>
        <w:t>QUFA Members</w:t>
      </w:r>
    </w:p>
    <w:p w14:paraId="1553D0AF" w14:textId="378FFED2" w:rsidR="0041304A" w:rsidRPr="00B34A3D" w:rsidRDefault="0041304A" w:rsidP="00B34A3D">
      <w:pPr>
        <w:pStyle w:val="BodyText"/>
        <w:ind w:left="109"/>
        <w:jc w:val="center"/>
        <w:rPr>
          <w:b/>
          <w:bCs/>
          <w:w w:val="105"/>
          <w:sz w:val="28"/>
          <w:szCs w:val="28"/>
        </w:rPr>
      </w:pPr>
      <w:r w:rsidRPr="00B34A3D">
        <w:rPr>
          <w:b/>
          <w:bCs/>
          <w:w w:val="105"/>
          <w:sz w:val="28"/>
          <w:szCs w:val="28"/>
        </w:rPr>
        <w:t>Faculty of Health Sciences</w:t>
      </w:r>
    </w:p>
    <w:p w14:paraId="2DDA90DF" w14:textId="2AE9B3E7" w:rsidR="0041304A" w:rsidRPr="00B34A3D" w:rsidRDefault="0041304A" w:rsidP="00B34A3D">
      <w:pPr>
        <w:spacing w:line="321" w:lineRule="exact"/>
        <w:ind w:left="1206"/>
        <w:rPr>
          <w:b/>
          <w:bCs/>
          <w:sz w:val="28"/>
          <w:szCs w:val="28"/>
        </w:rPr>
      </w:pPr>
      <w:r w:rsidRPr="00B34A3D">
        <w:rPr>
          <w:b/>
          <w:bCs/>
          <w:w w:val="105"/>
          <w:sz w:val="28"/>
          <w:szCs w:val="28"/>
        </w:rPr>
        <w:t>Professional Expense Allowance</w:t>
      </w:r>
      <w:r w:rsidR="00B34A3D">
        <w:rPr>
          <w:b/>
          <w:bCs/>
          <w:w w:val="105"/>
          <w:sz w:val="28"/>
          <w:szCs w:val="28"/>
        </w:rPr>
        <w:t xml:space="preserve"> </w:t>
      </w:r>
      <w:r w:rsidRPr="00B34A3D">
        <w:rPr>
          <w:b/>
          <w:bCs/>
          <w:w w:val="105"/>
          <w:sz w:val="28"/>
          <w:szCs w:val="28"/>
        </w:rPr>
        <w:t>Reimbursement Program</w:t>
      </w:r>
    </w:p>
    <w:p w14:paraId="1BA541D0" w14:textId="4E2F29D1" w:rsidR="0041304A" w:rsidRDefault="0041304A" w:rsidP="00B34A3D">
      <w:pPr>
        <w:pStyle w:val="BodyText"/>
        <w:ind w:left="109"/>
        <w:jc w:val="center"/>
        <w:rPr>
          <w:w w:val="105"/>
        </w:rPr>
      </w:pPr>
      <w:r w:rsidRPr="00B34A3D">
        <w:rPr>
          <w:b/>
          <w:bCs/>
          <w:w w:val="105"/>
          <w:sz w:val="28"/>
          <w:szCs w:val="28"/>
        </w:rPr>
        <w:t>202</w:t>
      </w:r>
      <w:r w:rsidR="00DB0BBE">
        <w:rPr>
          <w:b/>
          <w:bCs/>
          <w:w w:val="105"/>
          <w:sz w:val="28"/>
          <w:szCs w:val="28"/>
        </w:rPr>
        <w:t>3-24</w:t>
      </w:r>
    </w:p>
    <w:p w14:paraId="62DC47AD" w14:textId="77777777" w:rsidR="0041304A" w:rsidRDefault="0041304A" w:rsidP="00B34A3D">
      <w:pPr>
        <w:pStyle w:val="BodyText"/>
        <w:ind w:left="109"/>
        <w:rPr>
          <w:w w:val="105"/>
        </w:rPr>
      </w:pPr>
    </w:p>
    <w:p w14:paraId="40D38AE5" w14:textId="6CBC405A" w:rsidR="003123C3" w:rsidRPr="003123C3" w:rsidRDefault="003123C3">
      <w:pPr>
        <w:pStyle w:val="BodyText"/>
        <w:spacing w:before="235"/>
        <w:ind w:left="109"/>
        <w:rPr>
          <w:w w:val="105"/>
        </w:rPr>
      </w:pPr>
      <w:r>
        <w:rPr>
          <w:w w:val="105"/>
        </w:rPr>
        <w:t>The FHS PEA reimbursement program must adhere to the Queen’s QUFA PER policy at the following link:</w:t>
      </w:r>
    </w:p>
    <w:p w14:paraId="040D8346" w14:textId="44B7625D" w:rsidR="003123C3" w:rsidRDefault="00D11D47">
      <w:pPr>
        <w:pStyle w:val="BodyText"/>
        <w:spacing w:before="235"/>
        <w:ind w:left="109"/>
        <w:rPr>
          <w:w w:val="105"/>
          <w:u w:val="single"/>
        </w:rPr>
      </w:pPr>
      <w:hyperlink r:id="rId5" w:history="1">
        <w:r w:rsidR="003123C3" w:rsidRPr="00E906DD">
          <w:rPr>
            <w:rStyle w:val="Hyperlink"/>
            <w:w w:val="105"/>
          </w:rPr>
          <w:t>https://www.queensu.ca/secretariat/policies/finance/travel-and-expense-reimbursement-policy/professional-expense-reimbursement</w:t>
        </w:r>
      </w:hyperlink>
    </w:p>
    <w:p w14:paraId="18FC95D9" w14:textId="435636BD" w:rsidR="003123C3" w:rsidRDefault="003123C3">
      <w:pPr>
        <w:pStyle w:val="BodyText"/>
        <w:spacing w:before="235"/>
        <w:ind w:left="109"/>
        <w:rPr>
          <w:w w:val="105"/>
        </w:rPr>
      </w:pPr>
      <w:r>
        <w:rPr>
          <w:w w:val="105"/>
        </w:rPr>
        <w:t>More information on Eligible Expenditures, Ineligible expenditures</w:t>
      </w:r>
      <w:r w:rsidR="008B19AD">
        <w:rPr>
          <w:w w:val="105"/>
        </w:rPr>
        <w:t>,</w:t>
      </w:r>
      <w:r>
        <w:rPr>
          <w:w w:val="105"/>
        </w:rPr>
        <w:t xml:space="preserve"> and Balance carryforward can also be found in the above procedure</w:t>
      </w:r>
      <w:r w:rsidR="00465EAF">
        <w:rPr>
          <w:w w:val="105"/>
        </w:rPr>
        <w:t xml:space="preserve"> and in the QUFA collective agreement (article 36.3)</w:t>
      </w:r>
      <w:r>
        <w:rPr>
          <w:w w:val="105"/>
        </w:rPr>
        <w:t>.</w:t>
      </w:r>
    </w:p>
    <w:p w14:paraId="09F0631F" w14:textId="47C17205" w:rsidR="003123C3" w:rsidRDefault="003123C3">
      <w:pPr>
        <w:pStyle w:val="BodyText"/>
        <w:spacing w:before="235"/>
        <w:ind w:left="109"/>
        <w:rPr>
          <w:b/>
          <w:bCs/>
          <w:w w:val="105"/>
        </w:rPr>
      </w:pPr>
      <w:r>
        <w:rPr>
          <w:w w:val="105"/>
        </w:rPr>
        <w:t xml:space="preserve">Effective 1 January 2021, </w:t>
      </w:r>
      <w:r w:rsidR="008B19AD">
        <w:rPr>
          <w:w w:val="105"/>
        </w:rPr>
        <w:t>a</w:t>
      </w:r>
      <w:r w:rsidRPr="003123C3">
        <w:rPr>
          <w:w w:val="105"/>
        </w:rPr>
        <w:t xml:space="preserve">ll PER claims </w:t>
      </w:r>
      <w:r w:rsidRPr="003123C3">
        <w:rPr>
          <w:b/>
          <w:bCs/>
          <w:w w:val="105"/>
        </w:rPr>
        <w:t>must</w:t>
      </w:r>
      <w:r w:rsidRPr="003123C3">
        <w:rPr>
          <w:w w:val="105"/>
        </w:rPr>
        <w:t xml:space="preserve"> be submitted through the university’s electronic expense reimbursement system (ERS) using the program code </w:t>
      </w:r>
      <w:r w:rsidRPr="003123C3">
        <w:rPr>
          <w:b/>
          <w:bCs/>
          <w:w w:val="105"/>
        </w:rPr>
        <w:t>90081</w:t>
      </w:r>
      <w:r>
        <w:rPr>
          <w:b/>
          <w:bCs/>
          <w:w w:val="105"/>
        </w:rPr>
        <w:t>.</w:t>
      </w:r>
      <w:r w:rsidR="00F063D1">
        <w:rPr>
          <w:b/>
          <w:bCs/>
          <w:w w:val="105"/>
        </w:rPr>
        <w:t xml:space="preserve"> </w:t>
      </w:r>
      <w:r w:rsidR="00F063D1" w:rsidRPr="00F063D1">
        <w:rPr>
          <w:b/>
          <w:bCs/>
          <w:w w:val="105"/>
        </w:rPr>
        <w:t>Paper claims will no longer be accepted.</w:t>
      </w:r>
    </w:p>
    <w:p w14:paraId="6EFFDB4E" w14:textId="27DF2C77" w:rsidR="00F063D1" w:rsidRPr="00F063D1" w:rsidRDefault="00F063D1">
      <w:pPr>
        <w:pStyle w:val="BodyText"/>
        <w:spacing w:before="235"/>
        <w:ind w:left="109"/>
        <w:rPr>
          <w:w w:val="105"/>
        </w:rPr>
      </w:pPr>
      <w:r w:rsidRPr="00F063D1">
        <w:rPr>
          <w:w w:val="105"/>
        </w:rPr>
        <w:t>Please ensure that the member also uses “PEA” in the</w:t>
      </w:r>
      <w:r w:rsidR="008B19AD">
        <w:rPr>
          <w:w w:val="105"/>
        </w:rPr>
        <w:t>ir</w:t>
      </w:r>
      <w:r w:rsidRPr="00F063D1">
        <w:rPr>
          <w:w w:val="105"/>
        </w:rPr>
        <w:t xml:space="preserve"> claim description.</w:t>
      </w:r>
    </w:p>
    <w:p w14:paraId="7334B01C" w14:textId="6725E39E" w:rsidR="00F063D1" w:rsidRPr="00F063D1" w:rsidRDefault="00F063D1">
      <w:pPr>
        <w:pStyle w:val="BodyText"/>
        <w:spacing w:before="235"/>
        <w:ind w:left="109"/>
        <w:rPr>
          <w:w w:val="105"/>
        </w:rPr>
      </w:pPr>
      <w:r w:rsidRPr="003123C3">
        <w:rPr>
          <w:w w:val="105"/>
        </w:rPr>
        <w:t>Department are responsible to verify that individuals do not claim more than their maximum allowable amount</w:t>
      </w:r>
      <w:r>
        <w:rPr>
          <w:w w:val="105"/>
        </w:rPr>
        <w:t>. Therefore, we</w:t>
      </w:r>
      <w:r w:rsidRPr="00F063D1">
        <w:rPr>
          <w:w w:val="105"/>
        </w:rPr>
        <w:t xml:space="preserve"> strongly suggest that all PEA claims are submitted by the member to the fin/admin rep for the department for verification of receipts and amounts before being forwarded to the department head for approval. </w:t>
      </w:r>
    </w:p>
    <w:p w14:paraId="4260A4F6" w14:textId="73FD2049" w:rsidR="00F063D1" w:rsidRPr="00F063D1" w:rsidRDefault="00F063D1">
      <w:pPr>
        <w:pStyle w:val="BodyText"/>
        <w:spacing w:before="235"/>
        <w:ind w:left="109"/>
        <w:rPr>
          <w:w w:val="105"/>
        </w:rPr>
      </w:pPr>
      <w:r w:rsidRPr="00F063D1">
        <w:rPr>
          <w:w w:val="105"/>
        </w:rPr>
        <w:t>Department head PEA claims must still be sent to the FHS finance office first for review (Jefferey Thompson) and they will then be forwarded to the Dean for approval.</w:t>
      </w:r>
    </w:p>
    <w:p w14:paraId="00B03296" w14:textId="77777777" w:rsidR="00F063D1" w:rsidRDefault="00F063D1">
      <w:pPr>
        <w:pStyle w:val="BodyText"/>
        <w:spacing w:line="252" w:lineRule="auto"/>
        <w:ind w:left="109" w:right="383"/>
        <w:jc w:val="both"/>
      </w:pPr>
    </w:p>
    <w:p w14:paraId="5F50D90B" w14:textId="3B2AFF3C" w:rsidR="00402BE9" w:rsidRDefault="00465EAF">
      <w:pPr>
        <w:pStyle w:val="BodyText"/>
        <w:spacing w:line="252" w:lineRule="auto"/>
        <w:ind w:left="109" w:right="383"/>
        <w:jc w:val="both"/>
      </w:pPr>
      <w:r>
        <w:t>T</w:t>
      </w:r>
      <w:r w:rsidR="00F3701A">
        <w:t xml:space="preserve">he </w:t>
      </w:r>
      <w:r w:rsidR="00865CEC">
        <w:t xml:space="preserve">Annual maxima for </w:t>
      </w:r>
      <w:r w:rsidR="00512907">
        <w:rPr>
          <w:color w:val="FF0000"/>
        </w:rPr>
        <w:t>20</w:t>
      </w:r>
      <w:r w:rsidR="00731FE2">
        <w:rPr>
          <w:color w:val="FF0000"/>
        </w:rPr>
        <w:t>2</w:t>
      </w:r>
      <w:r w:rsidR="00DB0BBE">
        <w:rPr>
          <w:color w:val="FF0000"/>
        </w:rPr>
        <w:t>3-2024</w:t>
      </w:r>
      <w:r w:rsidR="00D65798">
        <w:rPr>
          <w:color w:val="FF0000"/>
        </w:rPr>
        <w:t xml:space="preserve"> </w:t>
      </w:r>
      <w:r w:rsidRPr="00465EAF">
        <w:rPr>
          <w:color w:val="000000" w:themeColor="text1"/>
        </w:rPr>
        <w:t>is</w:t>
      </w:r>
      <w:r w:rsidR="00865CEC" w:rsidRPr="00465EAF">
        <w:rPr>
          <w:color w:val="000000" w:themeColor="text1"/>
        </w:rPr>
        <w:t xml:space="preserve"> </w:t>
      </w:r>
      <w:r w:rsidR="00865CEC">
        <w:t xml:space="preserve">set out in the </w:t>
      </w:r>
      <w:r w:rsidR="00D11D47">
        <w:t xml:space="preserve">new QUFA </w:t>
      </w:r>
      <w:r w:rsidR="00865CEC">
        <w:t>Collective Agreement:</w:t>
      </w:r>
    </w:p>
    <w:p w14:paraId="6EF558DC" w14:textId="77777777" w:rsidR="00402BE9" w:rsidRDefault="00402BE9">
      <w:pPr>
        <w:pStyle w:val="BodyText"/>
        <w:spacing w:before="5"/>
        <w:rPr>
          <w:sz w:val="20"/>
        </w:rPr>
      </w:pPr>
    </w:p>
    <w:tbl>
      <w:tblPr>
        <w:tblW w:w="8671" w:type="dxa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2210"/>
        <w:gridCol w:w="2210"/>
        <w:gridCol w:w="2050"/>
      </w:tblGrid>
      <w:tr w:rsidR="00731FE2" w14:paraId="42C167A2" w14:textId="77777777" w:rsidTr="00512907">
        <w:trPr>
          <w:trHeight w:hRule="exact" w:val="269"/>
        </w:trPr>
        <w:tc>
          <w:tcPr>
            <w:tcW w:w="2201" w:type="dxa"/>
          </w:tcPr>
          <w:p w14:paraId="555EDF30" w14:textId="77777777" w:rsidR="00731FE2" w:rsidRDefault="00731FE2" w:rsidP="00731FE2"/>
        </w:tc>
        <w:tc>
          <w:tcPr>
            <w:tcW w:w="2210" w:type="dxa"/>
          </w:tcPr>
          <w:p w14:paraId="33A52A9A" w14:textId="7614AA38" w:rsidR="00731FE2" w:rsidRPr="00465EAF" w:rsidRDefault="00731FE2" w:rsidP="00731FE2">
            <w:pPr>
              <w:pStyle w:val="TableParagraph"/>
              <w:spacing w:line="218" w:lineRule="exact"/>
              <w:ind w:left="552"/>
              <w:rPr>
                <w:sz w:val="19"/>
              </w:rPr>
            </w:pPr>
            <w:r w:rsidRPr="00465EAF">
              <w:rPr>
                <w:sz w:val="19"/>
              </w:rPr>
              <w:t>20</w:t>
            </w:r>
            <w:r w:rsidR="00DB0BBE" w:rsidRPr="00465EAF">
              <w:rPr>
                <w:sz w:val="19"/>
              </w:rPr>
              <w:t>22</w:t>
            </w:r>
            <w:r w:rsidRPr="00465EAF">
              <w:rPr>
                <w:sz w:val="19"/>
              </w:rPr>
              <w:t>/20</w:t>
            </w:r>
            <w:r w:rsidR="00D65798" w:rsidRPr="00465EAF">
              <w:rPr>
                <w:sz w:val="19"/>
              </w:rPr>
              <w:t>2</w:t>
            </w:r>
            <w:r w:rsidR="00DB0BBE" w:rsidRPr="00465EAF">
              <w:rPr>
                <w:sz w:val="19"/>
              </w:rPr>
              <w:t>3</w:t>
            </w:r>
          </w:p>
        </w:tc>
        <w:tc>
          <w:tcPr>
            <w:tcW w:w="2210" w:type="dxa"/>
          </w:tcPr>
          <w:p w14:paraId="62601A94" w14:textId="54CB1B0E" w:rsidR="00731FE2" w:rsidRDefault="00D65798" w:rsidP="00731FE2">
            <w:pPr>
              <w:pStyle w:val="TableParagraph"/>
              <w:spacing w:line="218" w:lineRule="exact"/>
              <w:ind w:left="552"/>
              <w:rPr>
                <w:sz w:val="19"/>
              </w:rPr>
            </w:pPr>
            <w:r>
              <w:rPr>
                <w:sz w:val="19"/>
              </w:rPr>
              <w:t>202</w:t>
            </w:r>
            <w:r w:rsidR="00DB0BBE">
              <w:rPr>
                <w:sz w:val="19"/>
              </w:rPr>
              <w:t>3</w:t>
            </w:r>
            <w:r>
              <w:rPr>
                <w:sz w:val="19"/>
              </w:rPr>
              <w:t>/20</w:t>
            </w:r>
            <w:r w:rsidR="00DB0BBE">
              <w:rPr>
                <w:sz w:val="19"/>
              </w:rPr>
              <w:t>24</w:t>
            </w:r>
          </w:p>
        </w:tc>
        <w:tc>
          <w:tcPr>
            <w:tcW w:w="2050" w:type="dxa"/>
          </w:tcPr>
          <w:p w14:paraId="1BE8884B" w14:textId="45196536" w:rsidR="00731FE2" w:rsidRDefault="00D65798" w:rsidP="00731FE2">
            <w:pPr>
              <w:pStyle w:val="TableParagraph"/>
              <w:spacing w:line="218" w:lineRule="exact"/>
              <w:ind w:left="552"/>
              <w:rPr>
                <w:sz w:val="19"/>
              </w:rPr>
            </w:pPr>
            <w:r>
              <w:rPr>
                <w:sz w:val="19"/>
              </w:rPr>
              <w:t>202</w:t>
            </w:r>
            <w:r w:rsidR="00DB0BBE">
              <w:rPr>
                <w:sz w:val="19"/>
              </w:rPr>
              <w:t>4</w:t>
            </w:r>
            <w:r>
              <w:rPr>
                <w:sz w:val="19"/>
              </w:rPr>
              <w:t>/202</w:t>
            </w:r>
            <w:r w:rsidR="00DB0BBE">
              <w:rPr>
                <w:sz w:val="19"/>
              </w:rPr>
              <w:t>5</w:t>
            </w:r>
          </w:p>
        </w:tc>
      </w:tr>
      <w:tr w:rsidR="00731FE2" w14:paraId="3C074A9E" w14:textId="77777777" w:rsidTr="00512907">
        <w:trPr>
          <w:trHeight w:hRule="exact" w:val="751"/>
        </w:trPr>
        <w:tc>
          <w:tcPr>
            <w:tcW w:w="2201" w:type="dxa"/>
          </w:tcPr>
          <w:p w14:paraId="10B18925" w14:textId="77777777" w:rsidR="00731FE2" w:rsidRDefault="00731FE2" w:rsidP="00731FE2">
            <w:pPr>
              <w:pStyle w:val="TableParagraph"/>
              <w:spacing w:line="242" w:lineRule="auto"/>
              <w:ind w:left="100" w:right="234"/>
              <w:rPr>
                <w:sz w:val="19"/>
              </w:rPr>
            </w:pPr>
            <w:r>
              <w:rPr>
                <w:sz w:val="19"/>
              </w:rPr>
              <w:t>Faculty Members (not Term Adjuncts)</w:t>
            </w:r>
          </w:p>
        </w:tc>
        <w:tc>
          <w:tcPr>
            <w:tcW w:w="2210" w:type="dxa"/>
          </w:tcPr>
          <w:p w14:paraId="05E71B60" w14:textId="77777777" w:rsidR="00731FE2" w:rsidRDefault="00731FE2" w:rsidP="00731FE2">
            <w:pPr>
              <w:pStyle w:val="TableParagraph"/>
              <w:spacing w:before="2"/>
              <w:rPr>
                <w:sz w:val="20"/>
              </w:rPr>
            </w:pPr>
          </w:p>
          <w:p w14:paraId="0E11D791" w14:textId="0577561F" w:rsidR="00731FE2" w:rsidRDefault="00731FE2" w:rsidP="00731FE2">
            <w:pPr>
              <w:pStyle w:val="TableParagraph"/>
              <w:ind w:left="607"/>
              <w:rPr>
                <w:sz w:val="19"/>
              </w:rPr>
            </w:pPr>
            <w:r>
              <w:rPr>
                <w:sz w:val="19"/>
              </w:rPr>
              <w:t>$</w:t>
            </w:r>
            <w:r w:rsidR="00465EAF">
              <w:rPr>
                <w:sz w:val="19"/>
              </w:rPr>
              <w:t>2,458</w:t>
            </w:r>
          </w:p>
        </w:tc>
        <w:tc>
          <w:tcPr>
            <w:tcW w:w="2210" w:type="dxa"/>
          </w:tcPr>
          <w:p w14:paraId="5D879729" w14:textId="77777777" w:rsidR="00731FE2" w:rsidRDefault="00731FE2" w:rsidP="00731FE2">
            <w:pPr>
              <w:pStyle w:val="TableParagraph"/>
              <w:spacing w:before="2"/>
              <w:rPr>
                <w:sz w:val="20"/>
              </w:rPr>
            </w:pPr>
          </w:p>
          <w:p w14:paraId="35BEF6A8" w14:textId="0EC29F5D" w:rsidR="00731FE2" w:rsidRDefault="00731FE2" w:rsidP="00731FE2">
            <w:pPr>
              <w:pStyle w:val="TableParagraph"/>
              <w:ind w:left="607"/>
              <w:rPr>
                <w:sz w:val="19"/>
              </w:rPr>
            </w:pPr>
            <w:r>
              <w:rPr>
                <w:sz w:val="19"/>
              </w:rPr>
              <w:t>$</w:t>
            </w:r>
            <w:r w:rsidR="00465EAF">
              <w:rPr>
                <w:sz w:val="19"/>
              </w:rPr>
              <w:t>2,532</w:t>
            </w:r>
          </w:p>
        </w:tc>
        <w:tc>
          <w:tcPr>
            <w:tcW w:w="2050" w:type="dxa"/>
          </w:tcPr>
          <w:p w14:paraId="7A09610C" w14:textId="77777777" w:rsidR="00731FE2" w:rsidRDefault="00731FE2" w:rsidP="00731FE2">
            <w:pPr>
              <w:pStyle w:val="TableParagraph"/>
              <w:spacing w:before="2"/>
              <w:rPr>
                <w:sz w:val="20"/>
              </w:rPr>
            </w:pPr>
          </w:p>
          <w:p w14:paraId="54DCF747" w14:textId="65E3B53C" w:rsidR="00731FE2" w:rsidRDefault="00731FE2" w:rsidP="00487D94">
            <w:pPr>
              <w:pStyle w:val="TableParagraph"/>
              <w:ind w:left="607"/>
              <w:rPr>
                <w:sz w:val="19"/>
              </w:rPr>
            </w:pPr>
            <w:r>
              <w:rPr>
                <w:sz w:val="19"/>
              </w:rPr>
              <w:t>$</w:t>
            </w:r>
            <w:r w:rsidR="00465EAF">
              <w:rPr>
                <w:sz w:val="19"/>
              </w:rPr>
              <w:t>2,608</w:t>
            </w:r>
          </w:p>
        </w:tc>
      </w:tr>
      <w:tr w:rsidR="00731FE2" w14:paraId="4FBE69AE" w14:textId="77777777" w:rsidTr="00512907">
        <w:trPr>
          <w:trHeight w:hRule="exact" w:val="761"/>
        </w:trPr>
        <w:tc>
          <w:tcPr>
            <w:tcW w:w="2201" w:type="dxa"/>
          </w:tcPr>
          <w:p w14:paraId="7EC6517B" w14:textId="77777777" w:rsidR="00731FE2" w:rsidRDefault="00731FE2" w:rsidP="00731FE2">
            <w:pPr>
              <w:pStyle w:val="TableParagraph"/>
              <w:spacing w:before="4" w:line="242" w:lineRule="auto"/>
              <w:ind w:left="100" w:right="202"/>
              <w:rPr>
                <w:sz w:val="19"/>
              </w:rPr>
            </w:pPr>
            <w:r>
              <w:rPr>
                <w:sz w:val="19"/>
              </w:rPr>
              <w:t>Term Adjuncts per 0.5 credit course or equivalent</w:t>
            </w:r>
          </w:p>
        </w:tc>
        <w:tc>
          <w:tcPr>
            <w:tcW w:w="2210" w:type="dxa"/>
          </w:tcPr>
          <w:p w14:paraId="1930E3D5" w14:textId="77777777" w:rsidR="00731FE2" w:rsidRDefault="00731FE2" w:rsidP="00731FE2">
            <w:pPr>
              <w:pStyle w:val="TableParagraph"/>
              <w:spacing w:before="4"/>
              <w:rPr>
                <w:sz w:val="20"/>
              </w:rPr>
            </w:pPr>
          </w:p>
          <w:p w14:paraId="03A11782" w14:textId="0920DAFE" w:rsidR="00731FE2" w:rsidRDefault="00731FE2" w:rsidP="00731FE2">
            <w:pPr>
              <w:pStyle w:val="TableParagraph"/>
              <w:ind w:left="800" w:right="776"/>
              <w:rPr>
                <w:sz w:val="19"/>
              </w:rPr>
            </w:pPr>
            <w:r>
              <w:rPr>
                <w:sz w:val="19"/>
              </w:rPr>
              <w:t>$</w:t>
            </w:r>
            <w:r w:rsidR="00465EAF">
              <w:rPr>
                <w:sz w:val="19"/>
              </w:rPr>
              <w:t>350</w:t>
            </w:r>
          </w:p>
        </w:tc>
        <w:tc>
          <w:tcPr>
            <w:tcW w:w="2210" w:type="dxa"/>
          </w:tcPr>
          <w:p w14:paraId="560F8162" w14:textId="77777777" w:rsidR="00731FE2" w:rsidRDefault="00731FE2" w:rsidP="00731FE2">
            <w:pPr>
              <w:pStyle w:val="TableParagraph"/>
              <w:spacing w:before="4"/>
              <w:rPr>
                <w:sz w:val="20"/>
              </w:rPr>
            </w:pPr>
          </w:p>
          <w:p w14:paraId="2BE37E6B" w14:textId="4A0C4103" w:rsidR="00731FE2" w:rsidRDefault="00731FE2" w:rsidP="00731FE2">
            <w:pPr>
              <w:pStyle w:val="TableParagraph"/>
              <w:ind w:left="800" w:right="776"/>
              <w:rPr>
                <w:sz w:val="19"/>
              </w:rPr>
            </w:pPr>
            <w:r>
              <w:rPr>
                <w:sz w:val="19"/>
              </w:rPr>
              <w:t>$</w:t>
            </w:r>
            <w:r w:rsidR="00465EAF">
              <w:rPr>
                <w:sz w:val="19"/>
              </w:rPr>
              <w:t>361</w:t>
            </w:r>
          </w:p>
          <w:p w14:paraId="5175A556" w14:textId="77777777" w:rsidR="00731FE2" w:rsidRDefault="00731FE2" w:rsidP="00731FE2">
            <w:pPr>
              <w:pStyle w:val="TableParagraph"/>
              <w:ind w:left="800" w:right="776"/>
              <w:rPr>
                <w:sz w:val="19"/>
              </w:rPr>
            </w:pPr>
          </w:p>
        </w:tc>
        <w:tc>
          <w:tcPr>
            <w:tcW w:w="2050" w:type="dxa"/>
          </w:tcPr>
          <w:p w14:paraId="2954C59C" w14:textId="77777777" w:rsidR="00731FE2" w:rsidRDefault="00731FE2" w:rsidP="00731FE2">
            <w:pPr>
              <w:pStyle w:val="TableParagraph"/>
              <w:spacing w:before="4"/>
              <w:rPr>
                <w:sz w:val="20"/>
              </w:rPr>
            </w:pPr>
          </w:p>
          <w:p w14:paraId="342DC4B2" w14:textId="43D32B7B" w:rsidR="00731FE2" w:rsidRDefault="00487D94" w:rsidP="00731FE2">
            <w:pPr>
              <w:pStyle w:val="TableParagraph"/>
              <w:ind w:left="800" w:right="776"/>
              <w:rPr>
                <w:sz w:val="19"/>
              </w:rPr>
            </w:pPr>
            <w:r>
              <w:rPr>
                <w:sz w:val="19"/>
              </w:rPr>
              <w:t>$</w:t>
            </w:r>
            <w:r w:rsidR="00465EAF">
              <w:rPr>
                <w:sz w:val="19"/>
              </w:rPr>
              <w:t>372</w:t>
            </w:r>
          </w:p>
          <w:p w14:paraId="5ADF9E07" w14:textId="77777777" w:rsidR="00731FE2" w:rsidRDefault="00731FE2" w:rsidP="00731FE2">
            <w:pPr>
              <w:pStyle w:val="TableParagraph"/>
              <w:ind w:left="800" w:right="776"/>
              <w:rPr>
                <w:sz w:val="19"/>
              </w:rPr>
            </w:pPr>
          </w:p>
        </w:tc>
      </w:tr>
    </w:tbl>
    <w:p w14:paraId="56E90AB5" w14:textId="77777777" w:rsidR="00402BE9" w:rsidRDefault="00402BE9">
      <w:pPr>
        <w:pStyle w:val="BodyText"/>
        <w:rPr>
          <w:sz w:val="20"/>
        </w:rPr>
      </w:pPr>
    </w:p>
    <w:p w14:paraId="454C9B12" w14:textId="77777777" w:rsidR="00402BE9" w:rsidRDefault="00402BE9">
      <w:pPr>
        <w:pStyle w:val="BodyText"/>
        <w:spacing w:before="9"/>
        <w:rPr>
          <w:sz w:val="20"/>
        </w:rPr>
      </w:pPr>
    </w:p>
    <w:p w14:paraId="1E150750" w14:textId="0AE42F0F" w:rsidR="00402BE9" w:rsidRDefault="00865CEC" w:rsidP="008B19AD">
      <w:pPr>
        <w:spacing w:line="252" w:lineRule="auto"/>
        <w:ind w:right="802"/>
      </w:pPr>
      <w:r w:rsidRPr="003123C3">
        <w:rPr>
          <w:w w:val="105"/>
          <w:sz w:val="19"/>
          <w:szCs w:val="19"/>
        </w:rPr>
        <w:t>PLEASE NOTE: To comply with Canada Revenue Agency regulations, all material included for professional expense reimbursement remains the property of Queen's University.</w:t>
      </w:r>
      <w:bookmarkStart w:id="0" w:name="Reimbursement_of_Expenses"/>
      <w:bookmarkEnd w:id="0"/>
    </w:p>
    <w:p w14:paraId="7A853333" w14:textId="77777777" w:rsidR="003123C3" w:rsidRPr="00F063D1" w:rsidRDefault="003123C3">
      <w:pPr>
        <w:spacing w:line="252" w:lineRule="auto"/>
        <w:rPr>
          <w:w w:val="105"/>
          <w:sz w:val="19"/>
          <w:szCs w:val="19"/>
        </w:rPr>
      </w:pPr>
    </w:p>
    <w:p w14:paraId="32EB6389" w14:textId="254B38A2" w:rsidR="003123C3" w:rsidRDefault="008B19AD">
      <w:pPr>
        <w:spacing w:line="252" w:lineRule="auto"/>
        <w:rPr>
          <w:w w:val="105"/>
          <w:sz w:val="19"/>
          <w:szCs w:val="19"/>
        </w:rPr>
      </w:pPr>
      <w:r w:rsidRPr="00F063D1">
        <w:rPr>
          <w:w w:val="105"/>
          <w:sz w:val="19"/>
          <w:szCs w:val="19"/>
        </w:rPr>
        <w:t>To</w:t>
      </w:r>
      <w:r w:rsidR="003123C3" w:rsidRPr="00F063D1">
        <w:rPr>
          <w:w w:val="105"/>
          <w:sz w:val="19"/>
          <w:szCs w:val="19"/>
        </w:rPr>
        <w:t xml:space="preserve"> ensure your department is reimbursed for PEA expenses</w:t>
      </w:r>
      <w:r>
        <w:rPr>
          <w:w w:val="105"/>
          <w:sz w:val="19"/>
          <w:szCs w:val="19"/>
        </w:rPr>
        <w:t xml:space="preserve"> in a timely fashion</w:t>
      </w:r>
      <w:r w:rsidR="003123C3" w:rsidRPr="00F063D1">
        <w:rPr>
          <w:w w:val="105"/>
          <w:sz w:val="19"/>
          <w:szCs w:val="19"/>
        </w:rPr>
        <w:t xml:space="preserve">, we ask </w:t>
      </w:r>
      <w:r w:rsidR="00F063D1" w:rsidRPr="00F063D1">
        <w:rPr>
          <w:w w:val="105"/>
          <w:sz w:val="19"/>
          <w:szCs w:val="19"/>
        </w:rPr>
        <w:t>that all</w:t>
      </w:r>
      <w:r w:rsidR="003123C3" w:rsidRPr="00F063D1">
        <w:rPr>
          <w:w w:val="105"/>
          <w:sz w:val="19"/>
          <w:szCs w:val="19"/>
        </w:rPr>
        <w:t xml:space="preserve"> ERS claims be submitted before </w:t>
      </w:r>
      <w:r w:rsidR="00F063D1" w:rsidRPr="00F063D1">
        <w:rPr>
          <w:b/>
          <w:bCs/>
          <w:w w:val="105"/>
          <w:sz w:val="19"/>
          <w:szCs w:val="19"/>
        </w:rPr>
        <w:t>31</w:t>
      </w:r>
      <w:r w:rsidR="003123C3" w:rsidRPr="00F063D1">
        <w:rPr>
          <w:b/>
          <w:bCs/>
          <w:w w:val="105"/>
          <w:sz w:val="19"/>
          <w:szCs w:val="19"/>
        </w:rPr>
        <w:t xml:space="preserve"> March 202</w:t>
      </w:r>
      <w:r w:rsidR="00DB0BBE">
        <w:rPr>
          <w:b/>
          <w:bCs/>
          <w:w w:val="105"/>
          <w:sz w:val="19"/>
          <w:szCs w:val="19"/>
        </w:rPr>
        <w:t>4</w:t>
      </w:r>
      <w:r w:rsidR="003123C3" w:rsidRPr="00F063D1">
        <w:rPr>
          <w:w w:val="105"/>
          <w:sz w:val="19"/>
          <w:szCs w:val="19"/>
        </w:rPr>
        <w:t xml:space="preserve"> so that they are posted to the general ledger by early April.</w:t>
      </w:r>
    </w:p>
    <w:p w14:paraId="1D615156" w14:textId="77777777" w:rsidR="00F063D1" w:rsidRPr="00F063D1" w:rsidRDefault="00F063D1">
      <w:pPr>
        <w:spacing w:line="252" w:lineRule="auto"/>
        <w:rPr>
          <w:w w:val="105"/>
          <w:sz w:val="19"/>
          <w:szCs w:val="19"/>
        </w:rPr>
      </w:pPr>
    </w:p>
    <w:p w14:paraId="454BBFFA" w14:textId="465BEDA0" w:rsidR="00402BE9" w:rsidRDefault="003123C3" w:rsidP="0041304A">
      <w:pPr>
        <w:spacing w:line="252" w:lineRule="auto"/>
        <w:rPr>
          <w:sz w:val="20"/>
        </w:rPr>
      </w:pPr>
      <w:r w:rsidRPr="00F063D1">
        <w:rPr>
          <w:w w:val="105"/>
          <w:sz w:val="19"/>
          <w:szCs w:val="19"/>
        </w:rPr>
        <w:t xml:space="preserve">We also ask that departments complete the </w:t>
      </w:r>
      <w:r w:rsidR="00F063D1">
        <w:rPr>
          <w:w w:val="105"/>
          <w:sz w:val="19"/>
          <w:szCs w:val="19"/>
        </w:rPr>
        <w:t>summary PEA</w:t>
      </w:r>
      <w:r w:rsidRPr="00F063D1">
        <w:rPr>
          <w:w w:val="105"/>
          <w:sz w:val="19"/>
          <w:szCs w:val="19"/>
        </w:rPr>
        <w:t xml:space="preserve"> excel templa</w:t>
      </w:r>
      <w:r w:rsidR="00D11D47">
        <w:rPr>
          <w:w w:val="105"/>
          <w:sz w:val="19"/>
          <w:szCs w:val="19"/>
        </w:rPr>
        <w:t>te</w:t>
      </w:r>
      <w:r w:rsidR="00F063D1">
        <w:rPr>
          <w:w w:val="105"/>
          <w:sz w:val="19"/>
          <w:szCs w:val="19"/>
        </w:rPr>
        <w:t xml:space="preserve"> </w:t>
      </w:r>
      <w:r w:rsidRPr="00F063D1">
        <w:rPr>
          <w:w w:val="105"/>
          <w:sz w:val="19"/>
          <w:szCs w:val="19"/>
        </w:rPr>
        <w:t xml:space="preserve">and return it </w:t>
      </w:r>
      <w:r w:rsidR="00F063D1" w:rsidRPr="00F063D1">
        <w:rPr>
          <w:w w:val="105"/>
          <w:sz w:val="19"/>
          <w:szCs w:val="19"/>
        </w:rPr>
        <w:t>to the</w:t>
      </w:r>
      <w:r w:rsidRPr="00F063D1">
        <w:rPr>
          <w:w w:val="105"/>
          <w:sz w:val="19"/>
          <w:szCs w:val="19"/>
        </w:rPr>
        <w:t xml:space="preserve"> FHS finance office NLT </w:t>
      </w:r>
      <w:r w:rsidRPr="00F063D1">
        <w:rPr>
          <w:b/>
          <w:bCs/>
          <w:w w:val="105"/>
          <w:sz w:val="19"/>
          <w:szCs w:val="19"/>
        </w:rPr>
        <w:t>15 April 202</w:t>
      </w:r>
      <w:r w:rsidR="00DB0BBE">
        <w:rPr>
          <w:b/>
          <w:bCs/>
          <w:w w:val="105"/>
          <w:sz w:val="19"/>
          <w:szCs w:val="19"/>
        </w:rPr>
        <w:t>4</w:t>
      </w:r>
      <w:r w:rsidRPr="00F063D1">
        <w:rPr>
          <w:w w:val="105"/>
          <w:sz w:val="19"/>
          <w:szCs w:val="19"/>
        </w:rPr>
        <w:t xml:space="preserve"> to ensure </w:t>
      </w:r>
      <w:r w:rsidR="008B19AD">
        <w:rPr>
          <w:w w:val="105"/>
          <w:sz w:val="19"/>
          <w:szCs w:val="19"/>
        </w:rPr>
        <w:t xml:space="preserve">that </w:t>
      </w:r>
      <w:r w:rsidRPr="00F063D1">
        <w:rPr>
          <w:w w:val="105"/>
          <w:sz w:val="19"/>
          <w:szCs w:val="19"/>
        </w:rPr>
        <w:t xml:space="preserve">the </w:t>
      </w:r>
      <w:r w:rsidR="008B19AD">
        <w:rPr>
          <w:w w:val="105"/>
          <w:sz w:val="19"/>
          <w:szCs w:val="19"/>
        </w:rPr>
        <w:t xml:space="preserve">PEA </w:t>
      </w:r>
      <w:r w:rsidRPr="00F063D1">
        <w:rPr>
          <w:w w:val="105"/>
          <w:sz w:val="19"/>
          <w:szCs w:val="19"/>
        </w:rPr>
        <w:t xml:space="preserve">transfer </w:t>
      </w:r>
      <w:r w:rsidR="008B19AD">
        <w:rPr>
          <w:w w:val="105"/>
          <w:sz w:val="19"/>
          <w:szCs w:val="19"/>
        </w:rPr>
        <w:t xml:space="preserve">for the department </w:t>
      </w:r>
      <w:r w:rsidRPr="00F063D1">
        <w:rPr>
          <w:w w:val="105"/>
          <w:sz w:val="19"/>
          <w:szCs w:val="19"/>
        </w:rPr>
        <w:t xml:space="preserve">can be verified and completed before </w:t>
      </w:r>
      <w:r w:rsidR="00F063D1" w:rsidRPr="00F063D1">
        <w:rPr>
          <w:w w:val="105"/>
          <w:sz w:val="19"/>
          <w:szCs w:val="19"/>
        </w:rPr>
        <w:t>30 April 202</w:t>
      </w:r>
      <w:r w:rsidR="00DB0BBE">
        <w:rPr>
          <w:w w:val="105"/>
          <w:sz w:val="19"/>
          <w:szCs w:val="19"/>
        </w:rPr>
        <w:t>4</w:t>
      </w:r>
      <w:r w:rsidR="00F063D1" w:rsidRPr="00F063D1">
        <w:rPr>
          <w:w w:val="105"/>
          <w:sz w:val="19"/>
          <w:szCs w:val="19"/>
        </w:rPr>
        <w:t>.</w:t>
      </w:r>
    </w:p>
    <w:sectPr w:rsidR="00402BE9" w:rsidSect="003123C3">
      <w:pgSz w:w="12240" w:h="15840"/>
      <w:pgMar w:top="1500" w:right="12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15589"/>
    <w:multiLevelType w:val="hybridMultilevel"/>
    <w:tmpl w:val="82266208"/>
    <w:lvl w:ilvl="0" w:tplc="2682ACF2">
      <w:numFmt w:val="bullet"/>
      <w:lvlText w:val="o"/>
      <w:lvlJc w:val="left"/>
      <w:pPr>
        <w:ind w:left="469" w:hanging="351"/>
      </w:pPr>
      <w:rPr>
        <w:rFonts w:ascii="Courier New" w:eastAsia="Courier New" w:hAnsi="Courier New" w:cs="Courier New" w:hint="default"/>
        <w:w w:val="98"/>
        <w:sz w:val="19"/>
        <w:szCs w:val="19"/>
      </w:rPr>
    </w:lvl>
    <w:lvl w:ilvl="1" w:tplc="45B6EBD4">
      <w:start w:val="1"/>
      <w:numFmt w:val="lowerLetter"/>
      <w:lvlText w:val="%2."/>
      <w:lvlJc w:val="left"/>
      <w:pPr>
        <w:ind w:left="1189" w:hanging="711"/>
      </w:pPr>
      <w:rPr>
        <w:rFonts w:ascii="Arial" w:eastAsia="Arial" w:hAnsi="Arial" w:cs="Arial" w:hint="default"/>
        <w:color w:val="0000FF"/>
        <w:spacing w:val="-1"/>
        <w:w w:val="98"/>
        <w:sz w:val="19"/>
        <w:szCs w:val="19"/>
      </w:rPr>
    </w:lvl>
    <w:lvl w:ilvl="2" w:tplc="DEEED8C8">
      <w:numFmt w:val="bullet"/>
      <w:lvlText w:val="•"/>
      <w:lvlJc w:val="left"/>
      <w:pPr>
        <w:ind w:left="2177" w:hanging="711"/>
      </w:pPr>
      <w:rPr>
        <w:rFonts w:hint="default"/>
      </w:rPr>
    </w:lvl>
    <w:lvl w:ilvl="3" w:tplc="2A8C87F6">
      <w:numFmt w:val="bullet"/>
      <w:lvlText w:val="•"/>
      <w:lvlJc w:val="left"/>
      <w:pPr>
        <w:ind w:left="3175" w:hanging="711"/>
      </w:pPr>
      <w:rPr>
        <w:rFonts w:hint="default"/>
      </w:rPr>
    </w:lvl>
    <w:lvl w:ilvl="4" w:tplc="5DD06152">
      <w:numFmt w:val="bullet"/>
      <w:lvlText w:val="•"/>
      <w:lvlJc w:val="left"/>
      <w:pPr>
        <w:ind w:left="4173" w:hanging="711"/>
      </w:pPr>
      <w:rPr>
        <w:rFonts w:hint="default"/>
      </w:rPr>
    </w:lvl>
    <w:lvl w:ilvl="5" w:tplc="EDDA5636">
      <w:numFmt w:val="bullet"/>
      <w:lvlText w:val="•"/>
      <w:lvlJc w:val="left"/>
      <w:pPr>
        <w:ind w:left="5171" w:hanging="711"/>
      </w:pPr>
      <w:rPr>
        <w:rFonts w:hint="default"/>
      </w:rPr>
    </w:lvl>
    <w:lvl w:ilvl="6" w:tplc="E0ACEBD0">
      <w:numFmt w:val="bullet"/>
      <w:lvlText w:val="•"/>
      <w:lvlJc w:val="left"/>
      <w:pPr>
        <w:ind w:left="6168" w:hanging="711"/>
      </w:pPr>
      <w:rPr>
        <w:rFonts w:hint="default"/>
      </w:rPr>
    </w:lvl>
    <w:lvl w:ilvl="7" w:tplc="53C8B62C">
      <w:numFmt w:val="bullet"/>
      <w:lvlText w:val="•"/>
      <w:lvlJc w:val="left"/>
      <w:pPr>
        <w:ind w:left="7166" w:hanging="711"/>
      </w:pPr>
      <w:rPr>
        <w:rFonts w:hint="default"/>
      </w:rPr>
    </w:lvl>
    <w:lvl w:ilvl="8" w:tplc="23D059F2">
      <w:numFmt w:val="bullet"/>
      <w:lvlText w:val="•"/>
      <w:lvlJc w:val="left"/>
      <w:pPr>
        <w:ind w:left="8164" w:hanging="711"/>
      </w:pPr>
      <w:rPr>
        <w:rFonts w:hint="default"/>
      </w:rPr>
    </w:lvl>
  </w:abstractNum>
  <w:abstractNum w:abstractNumId="1" w15:restartNumberingAfterBreak="0">
    <w:nsid w:val="5A0F300F"/>
    <w:multiLevelType w:val="hybridMultilevel"/>
    <w:tmpl w:val="E2CC4248"/>
    <w:lvl w:ilvl="0" w:tplc="59685CF4">
      <w:start w:val="1"/>
      <w:numFmt w:val="decimal"/>
      <w:lvlText w:val="%1."/>
      <w:lvlJc w:val="left"/>
      <w:pPr>
        <w:ind w:left="335" w:hanging="226"/>
      </w:pPr>
      <w:rPr>
        <w:rFonts w:ascii="Arial" w:eastAsia="Arial" w:hAnsi="Arial" w:cs="Arial" w:hint="default"/>
        <w:spacing w:val="-1"/>
        <w:w w:val="98"/>
        <w:sz w:val="19"/>
        <w:szCs w:val="19"/>
      </w:rPr>
    </w:lvl>
    <w:lvl w:ilvl="1" w:tplc="4EB6F340">
      <w:numFmt w:val="bullet"/>
      <w:lvlText w:val="•"/>
      <w:lvlJc w:val="left"/>
      <w:pPr>
        <w:ind w:left="1300" w:hanging="226"/>
      </w:pPr>
      <w:rPr>
        <w:rFonts w:hint="default"/>
      </w:rPr>
    </w:lvl>
    <w:lvl w:ilvl="2" w:tplc="8BC20474">
      <w:numFmt w:val="bullet"/>
      <w:lvlText w:val="•"/>
      <w:lvlJc w:val="left"/>
      <w:pPr>
        <w:ind w:left="2260" w:hanging="226"/>
      </w:pPr>
      <w:rPr>
        <w:rFonts w:hint="default"/>
      </w:rPr>
    </w:lvl>
    <w:lvl w:ilvl="3" w:tplc="3CACF424">
      <w:numFmt w:val="bullet"/>
      <w:lvlText w:val="•"/>
      <w:lvlJc w:val="left"/>
      <w:pPr>
        <w:ind w:left="3220" w:hanging="226"/>
      </w:pPr>
      <w:rPr>
        <w:rFonts w:hint="default"/>
      </w:rPr>
    </w:lvl>
    <w:lvl w:ilvl="4" w:tplc="CA440DDA">
      <w:numFmt w:val="bullet"/>
      <w:lvlText w:val="•"/>
      <w:lvlJc w:val="left"/>
      <w:pPr>
        <w:ind w:left="4180" w:hanging="226"/>
      </w:pPr>
      <w:rPr>
        <w:rFonts w:hint="default"/>
      </w:rPr>
    </w:lvl>
    <w:lvl w:ilvl="5" w:tplc="A6F81FD2">
      <w:numFmt w:val="bullet"/>
      <w:lvlText w:val="•"/>
      <w:lvlJc w:val="left"/>
      <w:pPr>
        <w:ind w:left="5140" w:hanging="226"/>
      </w:pPr>
      <w:rPr>
        <w:rFonts w:hint="default"/>
      </w:rPr>
    </w:lvl>
    <w:lvl w:ilvl="6" w:tplc="20C0E28C">
      <w:numFmt w:val="bullet"/>
      <w:lvlText w:val="•"/>
      <w:lvlJc w:val="left"/>
      <w:pPr>
        <w:ind w:left="6100" w:hanging="226"/>
      </w:pPr>
      <w:rPr>
        <w:rFonts w:hint="default"/>
      </w:rPr>
    </w:lvl>
    <w:lvl w:ilvl="7" w:tplc="9110BC4E">
      <w:numFmt w:val="bullet"/>
      <w:lvlText w:val="•"/>
      <w:lvlJc w:val="left"/>
      <w:pPr>
        <w:ind w:left="7060" w:hanging="226"/>
      </w:pPr>
      <w:rPr>
        <w:rFonts w:hint="default"/>
      </w:rPr>
    </w:lvl>
    <w:lvl w:ilvl="8" w:tplc="9524046A">
      <w:numFmt w:val="bullet"/>
      <w:lvlText w:val="•"/>
      <w:lvlJc w:val="left"/>
      <w:pPr>
        <w:ind w:left="8020" w:hanging="226"/>
      </w:pPr>
      <w:rPr>
        <w:rFonts w:hint="default"/>
      </w:rPr>
    </w:lvl>
  </w:abstractNum>
  <w:abstractNum w:abstractNumId="2" w15:restartNumberingAfterBreak="0">
    <w:nsid w:val="685D1707"/>
    <w:multiLevelType w:val="hybridMultilevel"/>
    <w:tmpl w:val="28FEDD7C"/>
    <w:lvl w:ilvl="0" w:tplc="76D434A4">
      <w:start w:val="1"/>
      <w:numFmt w:val="decimal"/>
      <w:lvlText w:val="%1."/>
      <w:lvlJc w:val="left"/>
      <w:pPr>
        <w:ind w:left="109" w:hanging="711"/>
      </w:pPr>
      <w:rPr>
        <w:rFonts w:ascii="Arial" w:eastAsia="Arial" w:hAnsi="Arial" w:cs="Arial" w:hint="default"/>
        <w:spacing w:val="-1"/>
        <w:w w:val="98"/>
        <w:sz w:val="19"/>
        <w:szCs w:val="19"/>
      </w:rPr>
    </w:lvl>
    <w:lvl w:ilvl="1" w:tplc="D49AAA44">
      <w:numFmt w:val="bullet"/>
      <w:lvlText w:val="•"/>
      <w:lvlJc w:val="left"/>
      <w:pPr>
        <w:ind w:left="1084" w:hanging="711"/>
      </w:pPr>
      <w:rPr>
        <w:rFonts w:hint="default"/>
      </w:rPr>
    </w:lvl>
    <w:lvl w:ilvl="2" w:tplc="62B2C2B6">
      <w:numFmt w:val="bullet"/>
      <w:lvlText w:val="•"/>
      <w:lvlJc w:val="left"/>
      <w:pPr>
        <w:ind w:left="2068" w:hanging="711"/>
      </w:pPr>
      <w:rPr>
        <w:rFonts w:hint="default"/>
      </w:rPr>
    </w:lvl>
    <w:lvl w:ilvl="3" w:tplc="591CE7A0">
      <w:numFmt w:val="bullet"/>
      <w:lvlText w:val="•"/>
      <w:lvlJc w:val="left"/>
      <w:pPr>
        <w:ind w:left="3052" w:hanging="711"/>
      </w:pPr>
      <w:rPr>
        <w:rFonts w:hint="default"/>
      </w:rPr>
    </w:lvl>
    <w:lvl w:ilvl="4" w:tplc="98C2C706">
      <w:numFmt w:val="bullet"/>
      <w:lvlText w:val="•"/>
      <w:lvlJc w:val="left"/>
      <w:pPr>
        <w:ind w:left="4036" w:hanging="711"/>
      </w:pPr>
      <w:rPr>
        <w:rFonts w:hint="default"/>
      </w:rPr>
    </w:lvl>
    <w:lvl w:ilvl="5" w:tplc="BC7675C6">
      <w:numFmt w:val="bullet"/>
      <w:lvlText w:val="•"/>
      <w:lvlJc w:val="left"/>
      <w:pPr>
        <w:ind w:left="5020" w:hanging="711"/>
      </w:pPr>
      <w:rPr>
        <w:rFonts w:hint="default"/>
      </w:rPr>
    </w:lvl>
    <w:lvl w:ilvl="6" w:tplc="95E611FE">
      <w:numFmt w:val="bullet"/>
      <w:lvlText w:val="•"/>
      <w:lvlJc w:val="left"/>
      <w:pPr>
        <w:ind w:left="6004" w:hanging="711"/>
      </w:pPr>
      <w:rPr>
        <w:rFonts w:hint="default"/>
      </w:rPr>
    </w:lvl>
    <w:lvl w:ilvl="7" w:tplc="C16E4262">
      <w:numFmt w:val="bullet"/>
      <w:lvlText w:val="•"/>
      <w:lvlJc w:val="left"/>
      <w:pPr>
        <w:ind w:left="6988" w:hanging="711"/>
      </w:pPr>
      <w:rPr>
        <w:rFonts w:hint="default"/>
      </w:rPr>
    </w:lvl>
    <w:lvl w:ilvl="8" w:tplc="3DA2E5DA">
      <w:numFmt w:val="bullet"/>
      <w:lvlText w:val="•"/>
      <w:lvlJc w:val="left"/>
      <w:pPr>
        <w:ind w:left="7972" w:hanging="711"/>
      </w:pPr>
      <w:rPr>
        <w:rFonts w:hint="default"/>
      </w:rPr>
    </w:lvl>
  </w:abstractNum>
  <w:abstractNum w:abstractNumId="3" w15:restartNumberingAfterBreak="0">
    <w:nsid w:val="7F5B1EA4"/>
    <w:multiLevelType w:val="hybridMultilevel"/>
    <w:tmpl w:val="778A4398"/>
    <w:lvl w:ilvl="0" w:tplc="6D0260E4">
      <w:numFmt w:val="bullet"/>
      <w:lvlText w:val="*"/>
      <w:lvlJc w:val="left"/>
      <w:pPr>
        <w:ind w:left="851" w:hanging="711"/>
      </w:pPr>
      <w:rPr>
        <w:rFonts w:ascii="Arial" w:eastAsia="Arial" w:hAnsi="Arial" w:cs="Arial" w:hint="default"/>
        <w:w w:val="98"/>
        <w:sz w:val="19"/>
        <w:szCs w:val="19"/>
      </w:rPr>
    </w:lvl>
    <w:lvl w:ilvl="1" w:tplc="73DE91CA">
      <w:numFmt w:val="bullet"/>
      <w:lvlText w:val="•"/>
      <w:lvlJc w:val="left"/>
      <w:pPr>
        <w:ind w:left="1768" w:hanging="711"/>
      </w:pPr>
      <w:rPr>
        <w:rFonts w:hint="default"/>
      </w:rPr>
    </w:lvl>
    <w:lvl w:ilvl="2" w:tplc="679C27CE">
      <w:numFmt w:val="bullet"/>
      <w:lvlText w:val="•"/>
      <w:lvlJc w:val="left"/>
      <w:pPr>
        <w:ind w:left="2676" w:hanging="711"/>
      </w:pPr>
      <w:rPr>
        <w:rFonts w:hint="default"/>
      </w:rPr>
    </w:lvl>
    <w:lvl w:ilvl="3" w:tplc="89FAA5DC">
      <w:numFmt w:val="bullet"/>
      <w:lvlText w:val="•"/>
      <w:lvlJc w:val="left"/>
      <w:pPr>
        <w:ind w:left="3584" w:hanging="711"/>
      </w:pPr>
      <w:rPr>
        <w:rFonts w:hint="default"/>
      </w:rPr>
    </w:lvl>
    <w:lvl w:ilvl="4" w:tplc="7A1275EC">
      <w:numFmt w:val="bullet"/>
      <w:lvlText w:val="•"/>
      <w:lvlJc w:val="left"/>
      <w:pPr>
        <w:ind w:left="4492" w:hanging="711"/>
      </w:pPr>
      <w:rPr>
        <w:rFonts w:hint="default"/>
      </w:rPr>
    </w:lvl>
    <w:lvl w:ilvl="5" w:tplc="770451A6">
      <w:numFmt w:val="bullet"/>
      <w:lvlText w:val="•"/>
      <w:lvlJc w:val="left"/>
      <w:pPr>
        <w:ind w:left="5400" w:hanging="711"/>
      </w:pPr>
      <w:rPr>
        <w:rFonts w:hint="default"/>
      </w:rPr>
    </w:lvl>
    <w:lvl w:ilvl="6" w:tplc="CAC6BCDA">
      <w:numFmt w:val="bullet"/>
      <w:lvlText w:val="•"/>
      <w:lvlJc w:val="left"/>
      <w:pPr>
        <w:ind w:left="6308" w:hanging="711"/>
      </w:pPr>
      <w:rPr>
        <w:rFonts w:hint="default"/>
      </w:rPr>
    </w:lvl>
    <w:lvl w:ilvl="7" w:tplc="87A41CA2">
      <w:numFmt w:val="bullet"/>
      <w:lvlText w:val="•"/>
      <w:lvlJc w:val="left"/>
      <w:pPr>
        <w:ind w:left="7216" w:hanging="711"/>
      </w:pPr>
      <w:rPr>
        <w:rFonts w:hint="default"/>
      </w:rPr>
    </w:lvl>
    <w:lvl w:ilvl="8" w:tplc="D5C6CE16">
      <w:numFmt w:val="bullet"/>
      <w:lvlText w:val="•"/>
      <w:lvlJc w:val="left"/>
      <w:pPr>
        <w:ind w:left="8124" w:hanging="711"/>
      </w:pPr>
      <w:rPr>
        <w:rFonts w:hint="default"/>
      </w:rPr>
    </w:lvl>
  </w:abstractNum>
  <w:num w:numId="1" w16cid:durableId="1357853551">
    <w:abstractNumId w:val="3"/>
  </w:num>
  <w:num w:numId="2" w16cid:durableId="1319380869">
    <w:abstractNumId w:val="1"/>
  </w:num>
  <w:num w:numId="3" w16cid:durableId="1175539249">
    <w:abstractNumId w:val="2"/>
  </w:num>
  <w:num w:numId="4" w16cid:durableId="24137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E9"/>
    <w:rsid w:val="000543CE"/>
    <w:rsid w:val="00056380"/>
    <w:rsid w:val="00114E91"/>
    <w:rsid w:val="001313B5"/>
    <w:rsid w:val="002072A3"/>
    <w:rsid w:val="00306BA8"/>
    <w:rsid w:val="003123C3"/>
    <w:rsid w:val="00322C41"/>
    <w:rsid w:val="003C74A4"/>
    <w:rsid w:val="00402BE9"/>
    <w:rsid w:val="0041304A"/>
    <w:rsid w:val="00465EAF"/>
    <w:rsid w:val="00487D94"/>
    <w:rsid w:val="00512907"/>
    <w:rsid w:val="005D7898"/>
    <w:rsid w:val="00605DD0"/>
    <w:rsid w:val="006B019E"/>
    <w:rsid w:val="007028F4"/>
    <w:rsid w:val="00731FE2"/>
    <w:rsid w:val="00865CEC"/>
    <w:rsid w:val="00886023"/>
    <w:rsid w:val="008939AD"/>
    <w:rsid w:val="008B19AD"/>
    <w:rsid w:val="009A1FAA"/>
    <w:rsid w:val="00A25CD4"/>
    <w:rsid w:val="00B34A3D"/>
    <w:rsid w:val="00D11D47"/>
    <w:rsid w:val="00D23201"/>
    <w:rsid w:val="00D65798"/>
    <w:rsid w:val="00DB0BBE"/>
    <w:rsid w:val="00DB42D5"/>
    <w:rsid w:val="00E70C62"/>
    <w:rsid w:val="00E917DF"/>
    <w:rsid w:val="00EF7DD0"/>
    <w:rsid w:val="00F063D1"/>
    <w:rsid w:val="00F3701A"/>
    <w:rsid w:val="00FB19AD"/>
    <w:rsid w:val="00FB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4035"/>
  <w15:docId w15:val="{35DB32C6-B8A8-4A04-A6C4-3ACDE14C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6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820" w:hanging="71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05D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3C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063D1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ueensu.ca/secretariat/policies/finance/travel-and-expense-reimbursement-policy/professional-expense-reimburs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Prof-Exp-QUFA-16-17.doc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Prof-Exp-QUFA-16-17.doc</dc:title>
  <dc:creator>Darlene Davis</dc:creator>
  <cp:lastModifiedBy>Melissa McIlroy</cp:lastModifiedBy>
  <cp:revision>4</cp:revision>
  <cp:lastPrinted>2019-05-28T15:49:00Z</cp:lastPrinted>
  <dcterms:created xsi:type="dcterms:W3CDTF">2023-06-26T18:13:00Z</dcterms:created>
  <dcterms:modified xsi:type="dcterms:W3CDTF">2023-06-26T18:17:00Z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2018-05-15T00:00:00Z</vt:filetime>
  </property>
</Properties>
</file>