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D77A" w14:textId="5614A691" w:rsidR="002D4753" w:rsidRPr="002D4753" w:rsidRDefault="002D4753" w:rsidP="002D4753">
      <w:pPr>
        <w:pStyle w:val="BodyText"/>
        <w:ind w:left="115"/>
        <w:jc w:val="center"/>
        <w:rPr>
          <w:b/>
          <w:bCs/>
          <w:w w:val="105"/>
          <w:sz w:val="28"/>
          <w:szCs w:val="28"/>
        </w:rPr>
      </w:pPr>
      <w:r w:rsidRPr="002D4753">
        <w:rPr>
          <w:b/>
          <w:bCs/>
          <w:w w:val="105"/>
          <w:sz w:val="28"/>
          <w:szCs w:val="28"/>
        </w:rPr>
        <w:t>CLINICAL FACULTY ALLOWANCE (GFT)</w:t>
      </w:r>
    </w:p>
    <w:p w14:paraId="7146DEC4" w14:textId="74D8F231" w:rsidR="002D4753" w:rsidRPr="002D4753" w:rsidRDefault="002D4753" w:rsidP="002D4753">
      <w:pPr>
        <w:pStyle w:val="BodyText"/>
        <w:ind w:left="115"/>
        <w:jc w:val="center"/>
        <w:rPr>
          <w:b/>
          <w:bCs/>
          <w:w w:val="105"/>
          <w:sz w:val="28"/>
          <w:szCs w:val="28"/>
        </w:rPr>
      </w:pPr>
      <w:r w:rsidRPr="002D4753">
        <w:rPr>
          <w:b/>
          <w:bCs/>
          <w:w w:val="105"/>
          <w:sz w:val="28"/>
          <w:szCs w:val="28"/>
        </w:rPr>
        <w:t>FACULTY OF HEALTH SCIENCES</w:t>
      </w:r>
    </w:p>
    <w:p w14:paraId="1D019B7F" w14:textId="643D72EA" w:rsidR="002D4753" w:rsidRPr="002D4753" w:rsidRDefault="002D4753" w:rsidP="002D4753">
      <w:pPr>
        <w:pStyle w:val="BodyText"/>
        <w:ind w:left="115"/>
        <w:jc w:val="center"/>
        <w:rPr>
          <w:b/>
          <w:bCs/>
          <w:w w:val="105"/>
          <w:sz w:val="28"/>
          <w:szCs w:val="28"/>
        </w:rPr>
      </w:pPr>
      <w:r w:rsidRPr="002D4753">
        <w:rPr>
          <w:b/>
          <w:bCs/>
          <w:w w:val="105"/>
          <w:sz w:val="28"/>
          <w:szCs w:val="28"/>
        </w:rPr>
        <w:t>PROFESSIONAL EXPENSE REIMBURSEMENT PROGRAM</w:t>
      </w:r>
    </w:p>
    <w:p w14:paraId="246E6542" w14:textId="4D5630EA" w:rsidR="002D4753" w:rsidRPr="002D4753" w:rsidRDefault="002D4753" w:rsidP="002D4753">
      <w:pPr>
        <w:pStyle w:val="BodyText"/>
        <w:ind w:left="115"/>
        <w:jc w:val="center"/>
        <w:rPr>
          <w:b/>
          <w:bCs/>
          <w:w w:val="105"/>
          <w:sz w:val="28"/>
          <w:szCs w:val="28"/>
        </w:rPr>
      </w:pPr>
      <w:r w:rsidRPr="002D4753">
        <w:rPr>
          <w:b/>
          <w:bCs/>
          <w:w w:val="105"/>
          <w:sz w:val="28"/>
          <w:szCs w:val="28"/>
        </w:rPr>
        <w:t>202</w:t>
      </w:r>
      <w:r w:rsidR="00FF0919">
        <w:rPr>
          <w:b/>
          <w:bCs/>
          <w:w w:val="105"/>
          <w:sz w:val="28"/>
          <w:szCs w:val="28"/>
        </w:rPr>
        <w:t>3-24</w:t>
      </w:r>
    </w:p>
    <w:p w14:paraId="24721B37" w14:textId="2B2D59B1" w:rsidR="002D4753" w:rsidRPr="003123C3" w:rsidRDefault="002D4753" w:rsidP="002D4753">
      <w:pPr>
        <w:pStyle w:val="BodyText"/>
        <w:spacing w:before="235"/>
        <w:ind w:left="109"/>
        <w:rPr>
          <w:w w:val="105"/>
        </w:rPr>
      </w:pPr>
      <w:r>
        <w:rPr>
          <w:w w:val="105"/>
        </w:rPr>
        <w:t>The FHS GFT PEA reimbursement program must adhere to the Queen’s PER procedure and guidelines at the following link:</w:t>
      </w:r>
    </w:p>
    <w:p w14:paraId="488ADD3A" w14:textId="77777777" w:rsidR="002D4753" w:rsidRDefault="00EF4FE6" w:rsidP="002D4753">
      <w:pPr>
        <w:pStyle w:val="BodyText"/>
        <w:spacing w:before="235"/>
        <w:ind w:left="109"/>
        <w:rPr>
          <w:w w:val="105"/>
          <w:u w:val="single"/>
        </w:rPr>
      </w:pPr>
      <w:hyperlink r:id="rId6" w:history="1">
        <w:r w:rsidR="002D4753" w:rsidRPr="00E906DD">
          <w:rPr>
            <w:rStyle w:val="Hyperlink"/>
            <w:w w:val="105"/>
          </w:rPr>
          <w:t>https://www.queensu.ca/secretariat/policies/finance/travel-and-expense-reimbursement-policy/professional-expense-reimbursement</w:t>
        </w:r>
      </w:hyperlink>
    </w:p>
    <w:p w14:paraId="1255E885" w14:textId="728A9A2B" w:rsidR="002D4753" w:rsidRDefault="002D4753" w:rsidP="002D4753">
      <w:pPr>
        <w:pStyle w:val="BodyText"/>
        <w:spacing w:before="235"/>
        <w:ind w:left="109"/>
        <w:rPr>
          <w:w w:val="105"/>
        </w:rPr>
      </w:pPr>
      <w:r>
        <w:rPr>
          <w:w w:val="105"/>
        </w:rPr>
        <w:t>More information on Eligible Expenditures, and Ineligible expenditures can be found in the above link.</w:t>
      </w:r>
    </w:p>
    <w:p w14:paraId="42982690" w14:textId="77777777" w:rsidR="00FF0919" w:rsidRDefault="00FF0919" w:rsidP="002D4753">
      <w:pPr>
        <w:pStyle w:val="BodyText"/>
        <w:ind w:left="115"/>
        <w:rPr>
          <w:w w:val="105"/>
        </w:rPr>
      </w:pPr>
    </w:p>
    <w:p w14:paraId="3625B3C0" w14:textId="7E9F5BF8" w:rsidR="002D4753" w:rsidRDefault="002D4753" w:rsidP="002D4753">
      <w:pPr>
        <w:pStyle w:val="BodyText"/>
        <w:ind w:left="115"/>
        <w:rPr>
          <w:b/>
          <w:bCs/>
          <w:w w:val="105"/>
        </w:rPr>
      </w:pPr>
      <w:r>
        <w:rPr>
          <w:w w:val="105"/>
        </w:rPr>
        <w:t>Effective 1 January 2021, a</w:t>
      </w:r>
      <w:r w:rsidRPr="003123C3">
        <w:rPr>
          <w:w w:val="105"/>
        </w:rPr>
        <w:t xml:space="preserve">ll PER claims </w:t>
      </w:r>
      <w:r w:rsidRPr="003123C3">
        <w:rPr>
          <w:b/>
          <w:bCs/>
          <w:w w:val="105"/>
        </w:rPr>
        <w:t>must</w:t>
      </w:r>
      <w:r w:rsidRPr="003123C3">
        <w:rPr>
          <w:w w:val="105"/>
        </w:rPr>
        <w:t xml:space="preserve"> be submitted through the university’s electronic expense reimbursement system (ERS) using the program code </w:t>
      </w:r>
      <w:r w:rsidRPr="003123C3">
        <w:rPr>
          <w:b/>
          <w:bCs/>
          <w:w w:val="105"/>
        </w:rPr>
        <w:t>90081</w:t>
      </w:r>
      <w:r>
        <w:rPr>
          <w:b/>
          <w:bCs/>
          <w:w w:val="105"/>
        </w:rPr>
        <w:t xml:space="preserve">. </w:t>
      </w:r>
      <w:r w:rsidRPr="00F063D1">
        <w:rPr>
          <w:b/>
          <w:bCs/>
          <w:w w:val="105"/>
        </w:rPr>
        <w:t>Paper claims will no longer be accepted.</w:t>
      </w:r>
    </w:p>
    <w:p w14:paraId="4D85CECA" w14:textId="77777777" w:rsidR="002D4753" w:rsidRDefault="002D4753" w:rsidP="002D4753">
      <w:pPr>
        <w:pStyle w:val="BodyText"/>
        <w:ind w:left="115"/>
        <w:rPr>
          <w:b/>
          <w:bCs/>
          <w:w w:val="105"/>
        </w:rPr>
      </w:pPr>
    </w:p>
    <w:p w14:paraId="5F6D8EE9" w14:textId="530A71BA" w:rsidR="002D4753" w:rsidRDefault="002D4753" w:rsidP="002D4753">
      <w:pPr>
        <w:pStyle w:val="BodyText"/>
        <w:ind w:left="109"/>
        <w:rPr>
          <w:w w:val="105"/>
        </w:rPr>
      </w:pPr>
      <w:r w:rsidRPr="00F063D1">
        <w:rPr>
          <w:w w:val="105"/>
        </w:rPr>
        <w:t>Please ensure that the member also uses “PEA” in the</w:t>
      </w:r>
      <w:r>
        <w:rPr>
          <w:w w:val="105"/>
        </w:rPr>
        <w:t>ir</w:t>
      </w:r>
      <w:r w:rsidRPr="00F063D1">
        <w:rPr>
          <w:w w:val="105"/>
        </w:rPr>
        <w:t xml:space="preserve"> claim description.</w:t>
      </w:r>
    </w:p>
    <w:p w14:paraId="52B9C50F" w14:textId="77777777" w:rsidR="002D4753" w:rsidRPr="00F063D1" w:rsidRDefault="002D4753" w:rsidP="002D4753">
      <w:pPr>
        <w:pStyle w:val="BodyText"/>
        <w:ind w:left="109"/>
        <w:rPr>
          <w:w w:val="105"/>
        </w:rPr>
      </w:pPr>
    </w:p>
    <w:p w14:paraId="09106966" w14:textId="3BC9BE25" w:rsidR="002D4753" w:rsidRDefault="002D4753" w:rsidP="002D4753">
      <w:pPr>
        <w:pStyle w:val="BodyText"/>
        <w:ind w:left="109"/>
        <w:rPr>
          <w:w w:val="105"/>
        </w:rPr>
      </w:pPr>
      <w:proofErr w:type="gramStart"/>
      <w:r w:rsidRPr="003123C3">
        <w:rPr>
          <w:w w:val="105"/>
        </w:rPr>
        <w:t>Department</w:t>
      </w:r>
      <w:proofErr w:type="gramEnd"/>
      <w:r w:rsidRPr="003123C3">
        <w:rPr>
          <w:w w:val="105"/>
        </w:rPr>
        <w:t xml:space="preserve"> are responsible to verify that individuals do not claim more than their maximum allowable amount</w:t>
      </w:r>
      <w:r>
        <w:rPr>
          <w:w w:val="105"/>
        </w:rPr>
        <w:t xml:space="preserve"> in their ERS claim. Therefore, we</w:t>
      </w:r>
      <w:r w:rsidRPr="00F063D1">
        <w:rPr>
          <w:w w:val="105"/>
        </w:rPr>
        <w:t xml:space="preserve"> strongly suggest that all PEA claims are submitted by the member to the fin/admin rep for the department for verification of receipts and amounts before being forwarded to the department head for approval. </w:t>
      </w:r>
    </w:p>
    <w:p w14:paraId="45906849" w14:textId="77777777" w:rsidR="002D4753" w:rsidRDefault="002D4753" w:rsidP="002D4753">
      <w:pPr>
        <w:pStyle w:val="BodyText"/>
        <w:ind w:left="109"/>
        <w:rPr>
          <w:w w:val="105"/>
        </w:rPr>
      </w:pPr>
    </w:p>
    <w:p w14:paraId="60B9F1B6" w14:textId="4028F162" w:rsidR="002D4753" w:rsidRDefault="002D4753" w:rsidP="002D4753">
      <w:pPr>
        <w:pStyle w:val="BodyText"/>
        <w:ind w:left="115"/>
        <w:rPr>
          <w:w w:val="105"/>
        </w:rPr>
      </w:pPr>
      <w:r w:rsidRPr="00F063D1">
        <w:rPr>
          <w:w w:val="105"/>
        </w:rPr>
        <w:t>Department head PEA claims must still be sent to the FHS finance office first for review (Jefferey Thompson) and they will then be forwarded to the Dean for approval.</w:t>
      </w:r>
    </w:p>
    <w:p w14:paraId="7DC1128A" w14:textId="77777777" w:rsidR="002D4753" w:rsidRPr="00F063D1" w:rsidRDefault="002D4753" w:rsidP="002D4753">
      <w:pPr>
        <w:pStyle w:val="BodyText"/>
        <w:ind w:left="115"/>
        <w:rPr>
          <w:w w:val="105"/>
        </w:rPr>
      </w:pPr>
    </w:p>
    <w:p w14:paraId="399A14C6" w14:textId="77777777" w:rsidR="00460EFA" w:rsidRDefault="00AC3CC8">
      <w:pPr>
        <w:pStyle w:val="ListParagraph"/>
        <w:numPr>
          <w:ilvl w:val="0"/>
          <w:numId w:val="5"/>
        </w:numPr>
        <w:tabs>
          <w:tab w:val="left" w:pos="481"/>
        </w:tabs>
        <w:rPr>
          <w:b/>
          <w:sz w:val="20"/>
        </w:rPr>
      </w:pPr>
      <w:r>
        <w:rPr>
          <w:b/>
          <w:sz w:val="20"/>
        </w:rPr>
        <w:t>Full-time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Clinical</w:t>
      </w:r>
      <w:r>
        <w:rPr>
          <w:b/>
          <w:spacing w:val="-23"/>
          <w:sz w:val="20"/>
        </w:rPr>
        <w:t xml:space="preserve"> </w:t>
      </w:r>
      <w:r>
        <w:rPr>
          <w:b/>
          <w:spacing w:val="2"/>
          <w:sz w:val="20"/>
        </w:rPr>
        <w:t>GFT</w:t>
      </w:r>
    </w:p>
    <w:p w14:paraId="671BCF9C" w14:textId="77777777" w:rsidR="00460EFA" w:rsidRDefault="00460EFA">
      <w:pPr>
        <w:pStyle w:val="BodyText"/>
        <w:spacing w:before="5"/>
        <w:rPr>
          <w:b/>
        </w:rPr>
      </w:pPr>
    </w:p>
    <w:p w14:paraId="30F89227" w14:textId="3DE714CB" w:rsidR="00460EFA" w:rsidRDefault="00AC3CC8">
      <w:pPr>
        <w:pStyle w:val="ListParagraph"/>
        <w:numPr>
          <w:ilvl w:val="1"/>
          <w:numId w:val="5"/>
        </w:numPr>
        <w:tabs>
          <w:tab w:val="left" w:pos="406"/>
        </w:tabs>
        <w:ind w:hanging="360"/>
        <w:rPr>
          <w:sz w:val="19"/>
        </w:rPr>
      </w:pPr>
      <w:r>
        <w:rPr>
          <w:sz w:val="19"/>
        </w:rPr>
        <w:t>All full-time clinical GFT faculty will be eligible for</w:t>
      </w:r>
      <w:r w:rsidR="00467F4E">
        <w:rPr>
          <w:sz w:val="19"/>
        </w:rPr>
        <w:t xml:space="preserve"> </w:t>
      </w:r>
      <w:r>
        <w:rPr>
          <w:sz w:val="19"/>
        </w:rPr>
        <w:t>a professional</w:t>
      </w:r>
      <w:r w:rsidR="00467F4E">
        <w:rPr>
          <w:sz w:val="19"/>
        </w:rPr>
        <w:t xml:space="preserve"> </w:t>
      </w:r>
      <w:r>
        <w:rPr>
          <w:sz w:val="19"/>
        </w:rPr>
        <w:t>expense reimbursement</w:t>
      </w:r>
      <w:r w:rsidR="00467F4E">
        <w:rPr>
          <w:sz w:val="19"/>
        </w:rPr>
        <w:t xml:space="preserve"> </w:t>
      </w:r>
      <w:r>
        <w:rPr>
          <w:sz w:val="19"/>
        </w:rPr>
        <w:t>of</w:t>
      </w:r>
      <w:r w:rsidR="002D4753">
        <w:rPr>
          <w:sz w:val="19"/>
        </w:rPr>
        <w:t xml:space="preserve"> </w:t>
      </w:r>
      <w:r>
        <w:rPr>
          <w:sz w:val="19"/>
        </w:rPr>
        <w:t>$390.00</w:t>
      </w:r>
      <w:r w:rsidR="002D4753">
        <w:rPr>
          <w:sz w:val="19"/>
        </w:rPr>
        <w:t xml:space="preserve"> per </w:t>
      </w:r>
      <w:r w:rsidR="00CD2F41">
        <w:rPr>
          <w:sz w:val="19"/>
        </w:rPr>
        <w:t>f</w:t>
      </w:r>
      <w:r w:rsidR="002D4753">
        <w:rPr>
          <w:sz w:val="19"/>
        </w:rPr>
        <w:t>iscal year</w:t>
      </w:r>
      <w:r>
        <w:rPr>
          <w:sz w:val="19"/>
        </w:rPr>
        <w:t>.</w:t>
      </w:r>
      <w:r w:rsidR="002D4753">
        <w:rPr>
          <w:sz w:val="19"/>
        </w:rPr>
        <w:t xml:space="preserve"> No carryforward of balances is allowed.</w:t>
      </w:r>
    </w:p>
    <w:p w14:paraId="4B0BAD05" w14:textId="77777777" w:rsidR="00460EFA" w:rsidRDefault="00460EFA">
      <w:pPr>
        <w:pStyle w:val="BodyText"/>
        <w:spacing w:before="4"/>
        <w:rPr>
          <w:sz w:val="21"/>
        </w:rPr>
      </w:pPr>
    </w:p>
    <w:p w14:paraId="19F98444" w14:textId="77777777" w:rsidR="00460EFA" w:rsidRDefault="00AC3CC8">
      <w:pPr>
        <w:pStyle w:val="ListParagraph"/>
        <w:numPr>
          <w:ilvl w:val="1"/>
          <w:numId w:val="5"/>
        </w:numPr>
        <w:tabs>
          <w:tab w:val="left" w:pos="406"/>
        </w:tabs>
        <w:spacing w:line="252" w:lineRule="auto"/>
        <w:ind w:right="703" w:hanging="375"/>
        <w:rPr>
          <w:sz w:val="19"/>
        </w:rPr>
      </w:pPr>
      <w:r>
        <w:rPr>
          <w:sz w:val="19"/>
        </w:rPr>
        <w:t xml:space="preserve">Faculty on Reduced Periods of Responsibility or Sabbatical will be eligible for the professional </w:t>
      </w:r>
      <w:r>
        <w:rPr>
          <w:spacing w:val="2"/>
          <w:sz w:val="19"/>
        </w:rPr>
        <w:t xml:space="preserve">expense </w:t>
      </w:r>
      <w:r>
        <w:rPr>
          <w:sz w:val="19"/>
        </w:rPr>
        <w:t>reimbursement</w:t>
      </w:r>
      <w:r w:rsidR="00467F4E">
        <w:rPr>
          <w:sz w:val="19"/>
        </w:rPr>
        <w:t xml:space="preserve"> </w:t>
      </w:r>
      <w:r>
        <w:rPr>
          <w:sz w:val="19"/>
        </w:rPr>
        <w:t>as</w:t>
      </w:r>
      <w:r>
        <w:rPr>
          <w:spacing w:val="-6"/>
          <w:sz w:val="19"/>
        </w:rPr>
        <w:t xml:space="preserve"> </w:t>
      </w:r>
      <w:r>
        <w:rPr>
          <w:sz w:val="19"/>
        </w:rPr>
        <w:t>indicated.</w:t>
      </w:r>
    </w:p>
    <w:p w14:paraId="1453EA51" w14:textId="77777777" w:rsidR="00460EFA" w:rsidRDefault="00460EFA">
      <w:pPr>
        <w:pStyle w:val="BodyText"/>
        <w:spacing w:before="7"/>
      </w:pPr>
    </w:p>
    <w:p w14:paraId="7250CF15" w14:textId="77777777" w:rsidR="00460EFA" w:rsidRDefault="00AC3CC8">
      <w:pPr>
        <w:pStyle w:val="Heading2"/>
        <w:numPr>
          <w:ilvl w:val="0"/>
          <w:numId w:val="5"/>
        </w:numPr>
        <w:tabs>
          <w:tab w:val="left" w:pos="411"/>
        </w:tabs>
        <w:ind w:left="410" w:hanging="285"/>
      </w:pPr>
      <w:r>
        <w:t>Clinical Adjunct</w:t>
      </w:r>
      <w:r>
        <w:rPr>
          <w:spacing w:val="-39"/>
        </w:rPr>
        <w:t xml:space="preserve"> </w:t>
      </w:r>
      <w:r>
        <w:t>Staff</w:t>
      </w:r>
    </w:p>
    <w:p w14:paraId="21255889" w14:textId="77777777" w:rsidR="00460EFA" w:rsidRDefault="00460EFA">
      <w:pPr>
        <w:pStyle w:val="BodyText"/>
        <w:spacing w:before="3"/>
        <w:rPr>
          <w:b/>
          <w:sz w:val="20"/>
        </w:rPr>
      </w:pPr>
    </w:p>
    <w:p w14:paraId="30C235A5" w14:textId="77777777" w:rsidR="00460EFA" w:rsidRDefault="00AC3CC8">
      <w:pPr>
        <w:pStyle w:val="BodyText"/>
        <w:spacing w:line="252" w:lineRule="auto"/>
        <w:ind w:left="110" w:right="421"/>
      </w:pPr>
      <w:r>
        <w:t>All Clinical Adjunct Staff who receive remuneration from Queen's and are not in the bargaining unit, will be eligible for a professional</w:t>
      </w:r>
      <w:r w:rsidR="00467F4E">
        <w:t xml:space="preserve"> </w:t>
      </w:r>
      <w:r>
        <w:t>expense reimbursement</w:t>
      </w:r>
      <w:r w:rsidR="00467F4E">
        <w:t xml:space="preserve"> </w:t>
      </w:r>
      <w:r>
        <w:t>allowance</w:t>
      </w:r>
      <w:r w:rsidR="00467F4E">
        <w:t xml:space="preserve"> </w:t>
      </w:r>
      <w:r>
        <w:t>according to the following teaching</w:t>
      </w:r>
      <w:r w:rsidR="00467F4E">
        <w:t xml:space="preserve"> </w:t>
      </w:r>
      <w:r>
        <w:t>load:</w:t>
      </w:r>
    </w:p>
    <w:p w14:paraId="2590C56C" w14:textId="77777777" w:rsidR="00460EFA" w:rsidRDefault="00460EFA">
      <w:pPr>
        <w:pStyle w:val="BodyText"/>
        <w:rPr>
          <w:sz w:val="20"/>
        </w:rPr>
      </w:pPr>
    </w:p>
    <w:p w14:paraId="3DF288D7" w14:textId="69D20815" w:rsidR="00460EFA" w:rsidRDefault="00AC3CC8">
      <w:pPr>
        <w:pStyle w:val="ListParagraph"/>
        <w:numPr>
          <w:ilvl w:val="1"/>
          <w:numId w:val="5"/>
        </w:numPr>
        <w:tabs>
          <w:tab w:val="left" w:pos="396"/>
        </w:tabs>
        <w:spacing w:line="252" w:lineRule="auto"/>
        <w:ind w:left="470" w:right="353" w:hanging="345"/>
        <w:rPr>
          <w:sz w:val="19"/>
        </w:rPr>
      </w:pPr>
      <w:r>
        <w:rPr>
          <w:sz w:val="19"/>
        </w:rPr>
        <w:t>One full-time course or equivalent (over the fiscal year) the professional expense reimbursement</w:t>
      </w:r>
      <w:r w:rsidR="00467F4E">
        <w:rPr>
          <w:sz w:val="19"/>
        </w:rPr>
        <w:t xml:space="preserve"> </w:t>
      </w:r>
      <w:r>
        <w:rPr>
          <w:sz w:val="19"/>
        </w:rPr>
        <w:t>will be 1/4</w:t>
      </w:r>
      <w:r w:rsidR="00467F4E">
        <w:rPr>
          <w:sz w:val="19"/>
        </w:rPr>
        <w:t xml:space="preserve"> </w:t>
      </w:r>
      <w:r>
        <w:rPr>
          <w:sz w:val="19"/>
        </w:rPr>
        <w:t>of the full-time</w:t>
      </w:r>
      <w:r w:rsidR="00467F4E">
        <w:rPr>
          <w:sz w:val="19"/>
        </w:rPr>
        <w:t xml:space="preserve"> </w:t>
      </w:r>
      <w:r>
        <w:rPr>
          <w:sz w:val="19"/>
        </w:rPr>
        <w:t>faculty</w:t>
      </w:r>
      <w:r>
        <w:rPr>
          <w:spacing w:val="-1"/>
          <w:sz w:val="19"/>
        </w:rPr>
        <w:t xml:space="preserve"> </w:t>
      </w:r>
      <w:r>
        <w:rPr>
          <w:sz w:val="19"/>
        </w:rPr>
        <w:t>level.</w:t>
      </w:r>
      <w:r w:rsidR="00CD2F41">
        <w:rPr>
          <w:sz w:val="19"/>
        </w:rPr>
        <w:t xml:space="preserve"> No carryforward of balances is allowed</w:t>
      </w:r>
      <w:r w:rsidR="00EF4FE6">
        <w:rPr>
          <w:sz w:val="19"/>
        </w:rPr>
        <w:t>.</w:t>
      </w:r>
    </w:p>
    <w:p w14:paraId="1C787A52" w14:textId="77777777" w:rsidR="00460EFA" w:rsidRDefault="00460EFA">
      <w:pPr>
        <w:pStyle w:val="BodyText"/>
        <w:spacing w:before="6"/>
        <w:rPr>
          <w:sz w:val="20"/>
        </w:rPr>
      </w:pPr>
    </w:p>
    <w:p w14:paraId="54F969F0" w14:textId="77777777" w:rsidR="00460EFA" w:rsidRDefault="00AC3CC8">
      <w:pPr>
        <w:pStyle w:val="ListParagraph"/>
        <w:numPr>
          <w:ilvl w:val="1"/>
          <w:numId w:val="5"/>
        </w:numPr>
        <w:tabs>
          <w:tab w:val="left" w:pos="375"/>
        </w:tabs>
        <w:ind w:left="470" w:right="417" w:hanging="360"/>
        <w:rPr>
          <w:sz w:val="19"/>
        </w:rPr>
      </w:pPr>
      <w:r>
        <w:rPr>
          <w:sz w:val="19"/>
        </w:rPr>
        <w:t xml:space="preserve">Greater than one full-time course equivalent (over the fiscal year) the professional expense </w:t>
      </w:r>
      <w:r>
        <w:rPr>
          <w:spacing w:val="2"/>
          <w:sz w:val="19"/>
        </w:rPr>
        <w:t xml:space="preserve">reimbursement </w:t>
      </w:r>
      <w:r w:rsidR="00813354">
        <w:rPr>
          <w:sz w:val="19"/>
        </w:rPr>
        <w:t>will</w:t>
      </w:r>
      <w:r>
        <w:rPr>
          <w:sz w:val="19"/>
        </w:rPr>
        <w:t xml:space="preserve"> be 1/2 of the full-time faculty</w:t>
      </w:r>
      <w:r>
        <w:rPr>
          <w:spacing w:val="12"/>
          <w:sz w:val="19"/>
        </w:rPr>
        <w:t xml:space="preserve"> </w:t>
      </w:r>
      <w:r>
        <w:rPr>
          <w:sz w:val="19"/>
        </w:rPr>
        <w:t>level.</w:t>
      </w:r>
    </w:p>
    <w:p w14:paraId="7F620755" w14:textId="77777777" w:rsidR="00460EFA" w:rsidRDefault="00460EFA">
      <w:pPr>
        <w:pStyle w:val="BodyText"/>
        <w:spacing w:before="1"/>
        <w:rPr>
          <w:sz w:val="22"/>
        </w:rPr>
      </w:pPr>
    </w:p>
    <w:p w14:paraId="32EFF9B1" w14:textId="49588FA8" w:rsidR="00460EFA" w:rsidRDefault="00AC3CC8" w:rsidP="00CD2F41">
      <w:pPr>
        <w:rPr>
          <w:sz w:val="19"/>
        </w:rPr>
      </w:pPr>
      <w:r w:rsidRPr="002D4753">
        <w:rPr>
          <w:sz w:val="19"/>
        </w:rPr>
        <w:t>In cases where</w:t>
      </w:r>
      <w:r w:rsidR="00467F4E" w:rsidRPr="002D4753">
        <w:rPr>
          <w:sz w:val="19"/>
        </w:rPr>
        <w:t xml:space="preserve"> </w:t>
      </w:r>
      <w:r w:rsidRPr="002D4753">
        <w:rPr>
          <w:sz w:val="19"/>
        </w:rPr>
        <w:t>eligibility</w:t>
      </w:r>
      <w:r w:rsidR="00467F4E" w:rsidRPr="002D4753">
        <w:rPr>
          <w:sz w:val="19"/>
        </w:rPr>
        <w:t xml:space="preserve"> </w:t>
      </w:r>
      <w:r w:rsidRPr="002D4753">
        <w:rPr>
          <w:sz w:val="19"/>
        </w:rPr>
        <w:t>may</w:t>
      </w:r>
      <w:r w:rsidR="00467F4E" w:rsidRPr="002D4753">
        <w:rPr>
          <w:sz w:val="19"/>
        </w:rPr>
        <w:t xml:space="preserve"> </w:t>
      </w:r>
      <w:r w:rsidRPr="002D4753">
        <w:rPr>
          <w:sz w:val="19"/>
        </w:rPr>
        <w:t>be in question, the appropriate</w:t>
      </w:r>
      <w:r w:rsidR="00467F4E" w:rsidRPr="002D4753">
        <w:rPr>
          <w:sz w:val="19"/>
        </w:rPr>
        <w:t xml:space="preserve"> </w:t>
      </w:r>
      <w:r w:rsidRPr="002D4753">
        <w:rPr>
          <w:sz w:val="19"/>
        </w:rPr>
        <w:t>dean</w:t>
      </w:r>
      <w:r w:rsidR="00467F4E" w:rsidRPr="002D4753">
        <w:rPr>
          <w:sz w:val="19"/>
        </w:rPr>
        <w:t xml:space="preserve"> </w:t>
      </w:r>
      <w:r w:rsidRPr="002D4753">
        <w:rPr>
          <w:sz w:val="19"/>
        </w:rPr>
        <w:t>will make a final determination.</w:t>
      </w:r>
    </w:p>
    <w:p w14:paraId="658BFD17" w14:textId="77777777" w:rsidR="002D4753" w:rsidRPr="002D4753" w:rsidRDefault="002D4753" w:rsidP="002D4753">
      <w:pPr>
        <w:ind w:left="125"/>
        <w:rPr>
          <w:sz w:val="19"/>
        </w:rPr>
      </w:pPr>
    </w:p>
    <w:p w14:paraId="6130A324" w14:textId="0C9A1CC1" w:rsidR="002D4753" w:rsidRDefault="002D4753" w:rsidP="002D4753">
      <w:pPr>
        <w:spacing w:line="252" w:lineRule="auto"/>
        <w:rPr>
          <w:w w:val="105"/>
          <w:sz w:val="19"/>
          <w:szCs w:val="19"/>
        </w:rPr>
      </w:pPr>
      <w:r w:rsidRPr="00F063D1">
        <w:rPr>
          <w:w w:val="105"/>
          <w:sz w:val="19"/>
          <w:szCs w:val="19"/>
        </w:rPr>
        <w:t>To ensure your department is reimbursed for PEA expenses</w:t>
      </w:r>
      <w:r>
        <w:rPr>
          <w:w w:val="105"/>
          <w:sz w:val="19"/>
          <w:szCs w:val="19"/>
        </w:rPr>
        <w:t xml:space="preserve"> in a timely fashion</w:t>
      </w:r>
      <w:r w:rsidRPr="00F063D1">
        <w:rPr>
          <w:w w:val="105"/>
          <w:sz w:val="19"/>
          <w:szCs w:val="19"/>
        </w:rPr>
        <w:t xml:space="preserve">, we ask that all ERS claims be submitted before </w:t>
      </w:r>
      <w:r w:rsidRPr="00F063D1">
        <w:rPr>
          <w:b/>
          <w:bCs/>
          <w:w w:val="105"/>
          <w:sz w:val="19"/>
          <w:szCs w:val="19"/>
        </w:rPr>
        <w:t>31 March 202</w:t>
      </w:r>
      <w:r w:rsidR="00FF0919">
        <w:rPr>
          <w:b/>
          <w:bCs/>
          <w:w w:val="105"/>
          <w:sz w:val="19"/>
          <w:szCs w:val="19"/>
        </w:rPr>
        <w:t>4</w:t>
      </w:r>
      <w:r w:rsidRPr="00F063D1">
        <w:rPr>
          <w:w w:val="105"/>
          <w:sz w:val="19"/>
          <w:szCs w:val="19"/>
        </w:rPr>
        <w:t xml:space="preserve"> so that they are posted to the general ledger by early April.</w:t>
      </w:r>
    </w:p>
    <w:p w14:paraId="21EF783E" w14:textId="77777777" w:rsidR="002D4753" w:rsidRPr="00F063D1" w:rsidRDefault="002D4753" w:rsidP="002D4753">
      <w:pPr>
        <w:spacing w:line="252" w:lineRule="auto"/>
        <w:rPr>
          <w:w w:val="105"/>
          <w:sz w:val="19"/>
          <w:szCs w:val="19"/>
        </w:rPr>
      </w:pPr>
    </w:p>
    <w:p w14:paraId="23A3E263" w14:textId="25EEF52F" w:rsidR="002D4753" w:rsidRDefault="002D4753" w:rsidP="00CD2F41">
      <w:pPr>
        <w:spacing w:line="252" w:lineRule="auto"/>
        <w:rPr>
          <w:rFonts w:ascii="Times New Roman"/>
          <w:sz w:val="17"/>
        </w:rPr>
      </w:pPr>
      <w:r w:rsidRPr="00F063D1">
        <w:rPr>
          <w:w w:val="105"/>
          <w:sz w:val="19"/>
          <w:szCs w:val="19"/>
        </w:rPr>
        <w:t xml:space="preserve">We also ask that departments complete the </w:t>
      </w:r>
      <w:r>
        <w:rPr>
          <w:w w:val="105"/>
          <w:sz w:val="19"/>
          <w:szCs w:val="19"/>
        </w:rPr>
        <w:t>summary PEA</w:t>
      </w:r>
      <w:r w:rsidRPr="00F063D1">
        <w:rPr>
          <w:w w:val="105"/>
          <w:sz w:val="19"/>
          <w:szCs w:val="19"/>
        </w:rPr>
        <w:t xml:space="preserve"> excel template</w:t>
      </w:r>
      <w:r>
        <w:rPr>
          <w:w w:val="105"/>
          <w:sz w:val="19"/>
          <w:szCs w:val="19"/>
        </w:rPr>
        <w:t xml:space="preserve"> </w:t>
      </w:r>
      <w:r w:rsidRPr="00F063D1">
        <w:rPr>
          <w:w w:val="105"/>
          <w:sz w:val="19"/>
          <w:szCs w:val="19"/>
        </w:rPr>
        <w:t xml:space="preserve">and return it to the FHS finance office NLT </w:t>
      </w:r>
      <w:r w:rsidRPr="00F063D1">
        <w:rPr>
          <w:b/>
          <w:bCs/>
          <w:w w:val="105"/>
          <w:sz w:val="19"/>
          <w:szCs w:val="19"/>
        </w:rPr>
        <w:t>15 April 202</w:t>
      </w:r>
      <w:r w:rsidR="00FF0919">
        <w:rPr>
          <w:b/>
          <w:bCs/>
          <w:w w:val="105"/>
          <w:sz w:val="19"/>
          <w:szCs w:val="19"/>
        </w:rPr>
        <w:t>4</w:t>
      </w:r>
      <w:r w:rsidRPr="00F063D1">
        <w:rPr>
          <w:w w:val="105"/>
          <w:sz w:val="19"/>
          <w:szCs w:val="19"/>
        </w:rPr>
        <w:t xml:space="preserve"> to ensure </w:t>
      </w:r>
      <w:r>
        <w:rPr>
          <w:w w:val="105"/>
          <w:sz w:val="19"/>
          <w:szCs w:val="19"/>
        </w:rPr>
        <w:t xml:space="preserve">that </w:t>
      </w:r>
      <w:r w:rsidRPr="00F063D1">
        <w:rPr>
          <w:w w:val="105"/>
          <w:sz w:val="19"/>
          <w:szCs w:val="19"/>
        </w:rPr>
        <w:t xml:space="preserve">the </w:t>
      </w:r>
      <w:r>
        <w:rPr>
          <w:w w:val="105"/>
          <w:sz w:val="19"/>
          <w:szCs w:val="19"/>
        </w:rPr>
        <w:t xml:space="preserve">PEA </w:t>
      </w:r>
      <w:r w:rsidRPr="00F063D1">
        <w:rPr>
          <w:w w:val="105"/>
          <w:sz w:val="19"/>
          <w:szCs w:val="19"/>
        </w:rPr>
        <w:t xml:space="preserve">transfer </w:t>
      </w:r>
      <w:r>
        <w:rPr>
          <w:w w:val="105"/>
          <w:sz w:val="19"/>
          <w:szCs w:val="19"/>
        </w:rPr>
        <w:t xml:space="preserve">for the department </w:t>
      </w:r>
      <w:r w:rsidRPr="00F063D1">
        <w:rPr>
          <w:w w:val="105"/>
          <w:sz w:val="19"/>
          <w:szCs w:val="19"/>
        </w:rPr>
        <w:t>can be verified and completed before 30 April 202</w:t>
      </w:r>
      <w:r w:rsidR="00FF0919">
        <w:rPr>
          <w:w w:val="105"/>
          <w:sz w:val="19"/>
          <w:szCs w:val="19"/>
        </w:rPr>
        <w:t>4</w:t>
      </w:r>
      <w:r w:rsidRPr="00F063D1">
        <w:rPr>
          <w:w w:val="105"/>
          <w:sz w:val="19"/>
          <w:szCs w:val="19"/>
        </w:rPr>
        <w:t>.</w:t>
      </w:r>
    </w:p>
    <w:sectPr w:rsidR="002D4753" w:rsidSect="002D475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66BD"/>
    <w:multiLevelType w:val="hybridMultilevel"/>
    <w:tmpl w:val="38CC3470"/>
    <w:lvl w:ilvl="0" w:tplc="1E8C66DE">
      <w:numFmt w:val="bullet"/>
      <w:lvlText w:val="*"/>
      <w:lvlJc w:val="left"/>
      <w:pPr>
        <w:ind w:left="110" w:hanging="731"/>
      </w:pPr>
      <w:rPr>
        <w:rFonts w:ascii="Arial" w:eastAsia="Arial" w:hAnsi="Arial" w:cs="Arial" w:hint="default"/>
        <w:w w:val="131"/>
        <w:position w:val="1"/>
        <w:sz w:val="18"/>
        <w:szCs w:val="18"/>
      </w:rPr>
    </w:lvl>
    <w:lvl w:ilvl="1" w:tplc="E30CD78A">
      <w:numFmt w:val="bullet"/>
      <w:lvlText w:val="•"/>
      <w:lvlJc w:val="left"/>
      <w:pPr>
        <w:ind w:left="1118" w:hanging="731"/>
      </w:pPr>
      <w:rPr>
        <w:rFonts w:hint="default"/>
      </w:rPr>
    </w:lvl>
    <w:lvl w:ilvl="2" w:tplc="81146928">
      <w:numFmt w:val="bullet"/>
      <w:lvlText w:val="•"/>
      <w:lvlJc w:val="left"/>
      <w:pPr>
        <w:ind w:left="2116" w:hanging="731"/>
      </w:pPr>
      <w:rPr>
        <w:rFonts w:hint="default"/>
      </w:rPr>
    </w:lvl>
    <w:lvl w:ilvl="3" w:tplc="891690FE">
      <w:numFmt w:val="bullet"/>
      <w:lvlText w:val="•"/>
      <w:lvlJc w:val="left"/>
      <w:pPr>
        <w:ind w:left="3114" w:hanging="731"/>
      </w:pPr>
      <w:rPr>
        <w:rFonts w:hint="default"/>
      </w:rPr>
    </w:lvl>
    <w:lvl w:ilvl="4" w:tplc="003C4A48">
      <w:numFmt w:val="bullet"/>
      <w:lvlText w:val="•"/>
      <w:lvlJc w:val="left"/>
      <w:pPr>
        <w:ind w:left="4112" w:hanging="731"/>
      </w:pPr>
      <w:rPr>
        <w:rFonts w:hint="default"/>
      </w:rPr>
    </w:lvl>
    <w:lvl w:ilvl="5" w:tplc="1BA019C0">
      <w:numFmt w:val="bullet"/>
      <w:lvlText w:val="•"/>
      <w:lvlJc w:val="left"/>
      <w:pPr>
        <w:ind w:left="5110" w:hanging="731"/>
      </w:pPr>
      <w:rPr>
        <w:rFonts w:hint="default"/>
      </w:rPr>
    </w:lvl>
    <w:lvl w:ilvl="6" w:tplc="479C7EB0">
      <w:numFmt w:val="bullet"/>
      <w:lvlText w:val="•"/>
      <w:lvlJc w:val="left"/>
      <w:pPr>
        <w:ind w:left="6108" w:hanging="731"/>
      </w:pPr>
      <w:rPr>
        <w:rFonts w:hint="default"/>
      </w:rPr>
    </w:lvl>
    <w:lvl w:ilvl="7" w:tplc="9C304DEC">
      <w:numFmt w:val="bullet"/>
      <w:lvlText w:val="•"/>
      <w:lvlJc w:val="left"/>
      <w:pPr>
        <w:ind w:left="7106" w:hanging="731"/>
      </w:pPr>
      <w:rPr>
        <w:rFonts w:hint="default"/>
      </w:rPr>
    </w:lvl>
    <w:lvl w:ilvl="8" w:tplc="EECA54EE">
      <w:numFmt w:val="bullet"/>
      <w:lvlText w:val="•"/>
      <w:lvlJc w:val="left"/>
      <w:pPr>
        <w:ind w:left="8104" w:hanging="731"/>
      </w:pPr>
      <w:rPr>
        <w:rFonts w:hint="default"/>
      </w:rPr>
    </w:lvl>
  </w:abstractNum>
  <w:abstractNum w:abstractNumId="1" w15:restartNumberingAfterBreak="0">
    <w:nsid w:val="4D354064"/>
    <w:multiLevelType w:val="hybridMultilevel"/>
    <w:tmpl w:val="19FC1BBC"/>
    <w:lvl w:ilvl="0" w:tplc="5A44545C">
      <w:start w:val="1"/>
      <w:numFmt w:val="decimal"/>
      <w:lvlText w:val="%1."/>
      <w:lvlJc w:val="left"/>
      <w:pPr>
        <w:ind w:left="110" w:hanging="696"/>
      </w:pPr>
      <w:rPr>
        <w:rFonts w:hint="default"/>
        <w:spacing w:val="-26"/>
        <w:w w:val="99"/>
      </w:rPr>
    </w:lvl>
    <w:lvl w:ilvl="1" w:tplc="C416F166">
      <w:numFmt w:val="bullet"/>
      <w:lvlText w:val="•"/>
      <w:lvlJc w:val="left"/>
      <w:pPr>
        <w:ind w:left="1106" w:hanging="696"/>
      </w:pPr>
      <w:rPr>
        <w:rFonts w:hint="default"/>
      </w:rPr>
    </w:lvl>
    <w:lvl w:ilvl="2" w:tplc="8AFED040">
      <w:numFmt w:val="bullet"/>
      <w:lvlText w:val="•"/>
      <w:lvlJc w:val="left"/>
      <w:pPr>
        <w:ind w:left="2092" w:hanging="696"/>
      </w:pPr>
      <w:rPr>
        <w:rFonts w:hint="default"/>
      </w:rPr>
    </w:lvl>
    <w:lvl w:ilvl="3" w:tplc="CFD6EA5C">
      <w:numFmt w:val="bullet"/>
      <w:lvlText w:val="•"/>
      <w:lvlJc w:val="left"/>
      <w:pPr>
        <w:ind w:left="3078" w:hanging="696"/>
      </w:pPr>
      <w:rPr>
        <w:rFonts w:hint="default"/>
      </w:rPr>
    </w:lvl>
    <w:lvl w:ilvl="4" w:tplc="60F288BE">
      <w:numFmt w:val="bullet"/>
      <w:lvlText w:val="•"/>
      <w:lvlJc w:val="left"/>
      <w:pPr>
        <w:ind w:left="4064" w:hanging="696"/>
      </w:pPr>
      <w:rPr>
        <w:rFonts w:hint="default"/>
      </w:rPr>
    </w:lvl>
    <w:lvl w:ilvl="5" w:tplc="5AACCE72">
      <w:numFmt w:val="bullet"/>
      <w:lvlText w:val="•"/>
      <w:lvlJc w:val="left"/>
      <w:pPr>
        <w:ind w:left="5050" w:hanging="696"/>
      </w:pPr>
      <w:rPr>
        <w:rFonts w:hint="default"/>
      </w:rPr>
    </w:lvl>
    <w:lvl w:ilvl="6" w:tplc="73424DA2">
      <w:numFmt w:val="bullet"/>
      <w:lvlText w:val="•"/>
      <w:lvlJc w:val="left"/>
      <w:pPr>
        <w:ind w:left="6036" w:hanging="696"/>
      </w:pPr>
      <w:rPr>
        <w:rFonts w:hint="default"/>
      </w:rPr>
    </w:lvl>
    <w:lvl w:ilvl="7" w:tplc="BF5A7634">
      <w:numFmt w:val="bullet"/>
      <w:lvlText w:val="•"/>
      <w:lvlJc w:val="left"/>
      <w:pPr>
        <w:ind w:left="7022" w:hanging="696"/>
      </w:pPr>
      <w:rPr>
        <w:rFonts w:hint="default"/>
      </w:rPr>
    </w:lvl>
    <w:lvl w:ilvl="8" w:tplc="4606EB28">
      <w:numFmt w:val="bullet"/>
      <w:lvlText w:val="•"/>
      <w:lvlJc w:val="left"/>
      <w:pPr>
        <w:ind w:left="8008" w:hanging="696"/>
      </w:pPr>
      <w:rPr>
        <w:rFonts w:hint="default"/>
      </w:rPr>
    </w:lvl>
  </w:abstractNum>
  <w:abstractNum w:abstractNumId="2" w15:restartNumberingAfterBreak="0">
    <w:nsid w:val="4DF451B6"/>
    <w:multiLevelType w:val="hybridMultilevel"/>
    <w:tmpl w:val="F384C5FA"/>
    <w:lvl w:ilvl="0" w:tplc="B7329982">
      <w:start w:val="1"/>
      <w:numFmt w:val="decimal"/>
      <w:lvlText w:val="%1."/>
      <w:lvlJc w:val="left"/>
      <w:pPr>
        <w:ind w:left="470" w:hanging="215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C0E007A6">
      <w:numFmt w:val="bullet"/>
      <w:lvlText w:val="•"/>
      <w:lvlJc w:val="left"/>
      <w:pPr>
        <w:ind w:left="1442" w:hanging="215"/>
      </w:pPr>
      <w:rPr>
        <w:rFonts w:hint="default"/>
      </w:rPr>
    </w:lvl>
    <w:lvl w:ilvl="2" w:tplc="C9100D96">
      <w:numFmt w:val="bullet"/>
      <w:lvlText w:val="•"/>
      <w:lvlJc w:val="left"/>
      <w:pPr>
        <w:ind w:left="2404" w:hanging="215"/>
      </w:pPr>
      <w:rPr>
        <w:rFonts w:hint="default"/>
      </w:rPr>
    </w:lvl>
    <w:lvl w:ilvl="3" w:tplc="912CDB2C">
      <w:numFmt w:val="bullet"/>
      <w:lvlText w:val="•"/>
      <w:lvlJc w:val="left"/>
      <w:pPr>
        <w:ind w:left="3366" w:hanging="215"/>
      </w:pPr>
      <w:rPr>
        <w:rFonts w:hint="default"/>
      </w:rPr>
    </w:lvl>
    <w:lvl w:ilvl="4" w:tplc="E7DC808E">
      <w:numFmt w:val="bullet"/>
      <w:lvlText w:val="•"/>
      <w:lvlJc w:val="left"/>
      <w:pPr>
        <w:ind w:left="4328" w:hanging="215"/>
      </w:pPr>
      <w:rPr>
        <w:rFonts w:hint="default"/>
      </w:rPr>
    </w:lvl>
    <w:lvl w:ilvl="5" w:tplc="6B563262">
      <w:numFmt w:val="bullet"/>
      <w:lvlText w:val="•"/>
      <w:lvlJc w:val="left"/>
      <w:pPr>
        <w:ind w:left="5290" w:hanging="215"/>
      </w:pPr>
      <w:rPr>
        <w:rFonts w:hint="default"/>
      </w:rPr>
    </w:lvl>
    <w:lvl w:ilvl="6" w:tplc="5992C4E4">
      <w:numFmt w:val="bullet"/>
      <w:lvlText w:val="•"/>
      <w:lvlJc w:val="left"/>
      <w:pPr>
        <w:ind w:left="6252" w:hanging="215"/>
      </w:pPr>
      <w:rPr>
        <w:rFonts w:hint="default"/>
      </w:rPr>
    </w:lvl>
    <w:lvl w:ilvl="7" w:tplc="E7D224BC">
      <w:numFmt w:val="bullet"/>
      <w:lvlText w:val="•"/>
      <w:lvlJc w:val="left"/>
      <w:pPr>
        <w:ind w:left="7214" w:hanging="215"/>
      </w:pPr>
      <w:rPr>
        <w:rFonts w:hint="default"/>
      </w:rPr>
    </w:lvl>
    <w:lvl w:ilvl="8" w:tplc="8348C4FC">
      <w:numFmt w:val="bullet"/>
      <w:lvlText w:val="•"/>
      <w:lvlJc w:val="left"/>
      <w:pPr>
        <w:ind w:left="8176" w:hanging="215"/>
      </w:pPr>
      <w:rPr>
        <w:rFonts w:hint="default"/>
      </w:rPr>
    </w:lvl>
  </w:abstractNum>
  <w:abstractNum w:abstractNumId="3" w15:restartNumberingAfterBreak="0">
    <w:nsid w:val="65FD6B10"/>
    <w:multiLevelType w:val="hybridMultilevel"/>
    <w:tmpl w:val="22F80314"/>
    <w:lvl w:ilvl="0" w:tplc="4EA6CC62">
      <w:numFmt w:val="bullet"/>
      <w:lvlText w:val="•"/>
      <w:lvlJc w:val="left"/>
      <w:pPr>
        <w:ind w:left="530" w:hanging="355"/>
      </w:pPr>
      <w:rPr>
        <w:rFonts w:ascii="Arial" w:eastAsia="Arial" w:hAnsi="Arial" w:cs="Arial" w:hint="default"/>
        <w:w w:val="99"/>
        <w:position w:val="3"/>
        <w:sz w:val="22"/>
        <w:szCs w:val="22"/>
      </w:rPr>
    </w:lvl>
    <w:lvl w:ilvl="1" w:tplc="7B88AB5C">
      <w:numFmt w:val="bullet"/>
      <w:lvlText w:val="•"/>
      <w:lvlJc w:val="left"/>
      <w:pPr>
        <w:ind w:left="1512" w:hanging="355"/>
      </w:pPr>
      <w:rPr>
        <w:rFonts w:hint="default"/>
      </w:rPr>
    </w:lvl>
    <w:lvl w:ilvl="2" w:tplc="86E45CE8">
      <w:numFmt w:val="bullet"/>
      <w:lvlText w:val="•"/>
      <w:lvlJc w:val="left"/>
      <w:pPr>
        <w:ind w:left="2484" w:hanging="355"/>
      </w:pPr>
      <w:rPr>
        <w:rFonts w:hint="default"/>
      </w:rPr>
    </w:lvl>
    <w:lvl w:ilvl="3" w:tplc="B5F4D76A">
      <w:numFmt w:val="bullet"/>
      <w:lvlText w:val="•"/>
      <w:lvlJc w:val="left"/>
      <w:pPr>
        <w:ind w:left="3456" w:hanging="355"/>
      </w:pPr>
      <w:rPr>
        <w:rFonts w:hint="default"/>
      </w:rPr>
    </w:lvl>
    <w:lvl w:ilvl="4" w:tplc="84CACC6A">
      <w:numFmt w:val="bullet"/>
      <w:lvlText w:val="•"/>
      <w:lvlJc w:val="left"/>
      <w:pPr>
        <w:ind w:left="4428" w:hanging="355"/>
      </w:pPr>
      <w:rPr>
        <w:rFonts w:hint="default"/>
      </w:rPr>
    </w:lvl>
    <w:lvl w:ilvl="5" w:tplc="7DE416A6">
      <w:numFmt w:val="bullet"/>
      <w:lvlText w:val="•"/>
      <w:lvlJc w:val="left"/>
      <w:pPr>
        <w:ind w:left="5400" w:hanging="355"/>
      </w:pPr>
      <w:rPr>
        <w:rFonts w:hint="default"/>
      </w:rPr>
    </w:lvl>
    <w:lvl w:ilvl="6" w:tplc="3514CB0A">
      <w:numFmt w:val="bullet"/>
      <w:lvlText w:val="•"/>
      <w:lvlJc w:val="left"/>
      <w:pPr>
        <w:ind w:left="6372" w:hanging="355"/>
      </w:pPr>
      <w:rPr>
        <w:rFonts w:hint="default"/>
      </w:rPr>
    </w:lvl>
    <w:lvl w:ilvl="7" w:tplc="F8BAA510">
      <w:numFmt w:val="bullet"/>
      <w:lvlText w:val="•"/>
      <w:lvlJc w:val="left"/>
      <w:pPr>
        <w:ind w:left="7344" w:hanging="355"/>
      </w:pPr>
      <w:rPr>
        <w:rFonts w:hint="default"/>
      </w:rPr>
    </w:lvl>
    <w:lvl w:ilvl="8" w:tplc="E2289E0A">
      <w:numFmt w:val="bullet"/>
      <w:lvlText w:val="•"/>
      <w:lvlJc w:val="left"/>
      <w:pPr>
        <w:ind w:left="8316" w:hanging="355"/>
      </w:pPr>
      <w:rPr>
        <w:rFonts w:hint="default"/>
      </w:rPr>
    </w:lvl>
  </w:abstractNum>
  <w:abstractNum w:abstractNumId="4" w15:restartNumberingAfterBreak="0">
    <w:nsid w:val="7ED627F0"/>
    <w:multiLevelType w:val="hybridMultilevel"/>
    <w:tmpl w:val="9A285EF4"/>
    <w:lvl w:ilvl="0" w:tplc="3476E982">
      <w:start w:val="1"/>
      <w:numFmt w:val="upperLetter"/>
      <w:lvlText w:val="%1."/>
      <w:lvlJc w:val="left"/>
      <w:pPr>
        <w:ind w:left="480" w:hanging="37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C8EC9340">
      <w:start w:val="1"/>
      <w:numFmt w:val="decimal"/>
      <w:lvlText w:val="%2."/>
      <w:lvlJc w:val="left"/>
      <w:pPr>
        <w:ind w:left="485" w:hanging="280"/>
      </w:pPr>
      <w:rPr>
        <w:rFonts w:ascii="Arial" w:eastAsia="Arial" w:hAnsi="Arial" w:cs="Arial" w:hint="default"/>
        <w:spacing w:val="-1"/>
        <w:w w:val="99"/>
        <w:sz w:val="19"/>
        <w:szCs w:val="19"/>
      </w:rPr>
    </w:lvl>
    <w:lvl w:ilvl="2" w:tplc="6DB061C8">
      <w:start w:val="1"/>
      <w:numFmt w:val="lowerLetter"/>
      <w:lvlText w:val="%3."/>
      <w:lvlJc w:val="left"/>
      <w:pPr>
        <w:ind w:left="1206" w:hanging="731"/>
      </w:pPr>
      <w:rPr>
        <w:rFonts w:ascii="Arial" w:eastAsia="Arial" w:hAnsi="Arial" w:cs="Arial" w:hint="default"/>
        <w:color w:val="0000FF"/>
        <w:spacing w:val="-27"/>
        <w:w w:val="99"/>
        <w:sz w:val="19"/>
        <w:szCs w:val="19"/>
      </w:rPr>
    </w:lvl>
    <w:lvl w:ilvl="3" w:tplc="9366169A">
      <w:numFmt w:val="bullet"/>
      <w:lvlText w:val="•"/>
      <w:lvlJc w:val="left"/>
      <w:pPr>
        <w:ind w:left="3155" w:hanging="731"/>
      </w:pPr>
      <w:rPr>
        <w:rFonts w:hint="default"/>
      </w:rPr>
    </w:lvl>
    <w:lvl w:ilvl="4" w:tplc="7D94F41C">
      <w:numFmt w:val="bullet"/>
      <w:lvlText w:val="•"/>
      <w:lvlJc w:val="left"/>
      <w:pPr>
        <w:ind w:left="4133" w:hanging="731"/>
      </w:pPr>
      <w:rPr>
        <w:rFonts w:hint="default"/>
      </w:rPr>
    </w:lvl>
    <w:lvl w:ilvl="5" w:tplc="990C0C30">
      <w:numFmt w:val="bullet"/>
      <w:lvlText w:val="•"/>
      <w:lvlJc w:val="left"/>
      <w:pPr>
        <w:ind w:left="5111" w:hanging="731"/>
      </w:pPr>
      <w:rPr>
        <w:rFonts w:hint="default"/>
      </w:rPr>
    </w:lvl>
    <w:lvl w:ilvl="6" w:tplc="F594F5F0">
      <w:numFmt w:val="bullet"/>
      <w:lvlText w:val="•"/>
      <w:lvlJc w:val="left"/>
      <w:pPr>
        <w:ind w:left="6088" w:hanging="731"/>
      </w:pPr>
      <w:rPr>
        <w:rFonts w:hint="default"/>
      </w:rPr>
    </w:lvl>
    <w:lvl w:ilvl="7" w:tplc="9F645A10">
      <w:numFmt w:val="bullet"/>
      <w:lvlText w:val="•"/>
      <w:lvlJc w:val="left"/>
      <w:pPr>
        <w:ind w:left="7066" w:hanging="731"/>
      </w:pPr>
      <w:rPr>
        <w:rFonts w:hint="default"/>
      </w:rPr>
    </w:lvl>
    <w:lvl w:ilvl="8" w:tplc="90488F7C">
      <w:numFmt w:val="bullet"/>
      <w:lvlText w:val="•"/>
      <w:lvlJc w:val="left"/>
      <w:pPr>
        <w:ind w:left="8044" w:hanging="731"/>
      </w:pPr>
      <w:rPr>
        <w:rFonts w:hint="default"/>
      </w:rPr>
    </w:lvl>
  </w:abstractNum>
  <w:num w:numId="1" w16cid:durableId="1504930975">
    <w:abstractNumId w:val="3"/>
  </w:num>
  <w:num w:numId="2" w16cid:durableId="1743676695">
    <w:abstractNumId w:val="0"/>
  </w:num>
  <w:num w:numId="3" w16cid:durableId="1642803401">
    <w:abstractNumId w:val="2"/>
  </w:num>
  <w:num w:numId="4" w16cid:durableId="1013413092">
    <w:abstractNumId w:val="1"/>
  </w:num>
  <w:num w:numId="5" w16cid:durableId="6357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FA"/>
    <w:rsid w:val="00070D09"/>
    <w:rsid w:val="00184884"/>
    <w:rsid w:val="001B4F7A"/>
    <w:rsid w:val="002503EF"/>
    <w:rsid w:val="002D4753"/>
    <w:rsid w:val="00326C70"/>
    <w:rsid w:val="00380D25"/>
    <w:rsid w:val="004147C1"/>
    <w:rsid w:val="00421A20"/>
    <w:rsid w:val="0043266D"/>
    <w:rsid w:val="00460EFA"/>
    <w:rsid w:val="00467F4E"/>
    <w:rsid w:val="00482A45"/>
    <w:rsid w:val="007946A1"/>
    <w:rsid w:val="00813354"/>
    <w:rsid w:val="008255DE"/>
    <w:rsid w:val="008462A9"/>
    <w:rsid w:val="009F6B97"/>
    <w:rsid w:val="00A40517"/>
    <w:rsid w:val="00A8052C"/>
    <w:rsid w:val="00AC3CC8"/>
    <w:rsid w:val="00AE3EDF"/>
    <w:rsid w:val="00B32FF3"/>
    <w:rsid w:val="00BA46D1"/>
    <w:rsid w:val="00BF15A9"/>
    <w:rsid w:val="00CD2F41"/>
    <w:rsid w:val="00D2353F"/>
    <w:rsid w:val="00D94CC8"/>
    <w:rsid w:val="00DF3FFA"/>
    <w:rsid w:val="00EF4FE6"/>
    <w:rsid w:val="00FE5CEE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3694"/>
  <w15:docId w15:val="{6B452A1F-8152-4DED-BA9C-0A68E3B6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03" w:right="312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25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1" w:hanging="71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1A2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D4753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eensu.ca/secretariat/policies/finance/travel-and-expense-reimbursement-policy/professional-expense-reimburse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E7E1-893D-43C4-8880-FB686796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Prof-Exp-Clinical-11-12.doc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Prof-Exp-Clinical-11-12.doc</dc:title>
  <dc:creator>Lynel Jackson</dc:creator>
  <cp:lastModifiedBy>Melissa McIlroy</cp:lastModifiedBy>
  <cp:revision>3</cp:revision>
  <dcterms:created xsi:type="dcterms:W3CDTF">2023-06-26T18:18:00Z</dcterms:created>
  <dcterms:modified xsi:type="dcterms:W3CDTF">2023-06-26T18:18:00Z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2018-05-15T00:00:00Z</vt:filetime>
  </property>
</Properties>
</file>